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340"/>
        <w:tabs>
          <w:tab w:val="right" w:leader="none" w:pos="9000"/>
        </w:tabs>
        <w:pBdr>
          <w:bottom w:val="single" w:sz="12" w:color="007F95"/>
        </w:pBdr>
      </w:pPr>
      <w:r>
        <w:rPr>
          <w:color w:val="102A43"/>
          <w:sz w:val="34"/>
          <w:szCs w:val="34"/>
          <w:b w:val="1"/>
          <w:bCs w:val="1"/>
          <w:spacing w:val="35"/>
        </w:rPr>
        <w:t xml:space="preserve">HYGIARA</w:t>
      </w:r>
      <w:r>
        <w:rPr>
          <w:color w:val="52627A"/>
          <w:sz w:val="16"/>
          <w:szCs w:val="16"/>
          <w:spacing w:val="18"/>
        </w:rPr>
        <w:t xml:space="preserve">	AZURE ADVISORY</w:t>
      </w:r>
    </w:p>
    <w:p>
      <w:pPr>
        <w:keepNext w:val="1"/>
        <w:spacing w:after="140"/>
      </w:pPr>
      <w:r>
        <w:rPr>
          <w:color w:val="007F95"/>
          <w:sz w:val="18"/>
          <w:szCs w:val="18"/>
          <w:b w:val="1"/>
          <w:bCs w:val="1"/>
          <w:spacing w:val="20"/>
        </w:rPr>
        <w:t xml:space="preserve">ASSESSMENT REPORT / 2026</w:t>
      </w:r>
    </w:p>
    <w:p>
      <w:pPr>
        <w:keepNext w:val="1"/>
        <w:spacing w:after="0" w:line="240" w:lineRule="auto"/>
      </w:pPr>
      <w:r>
        <w:rPr>
          <w:color w:val="102A43"/>
          <w:sz w:val="74"/>
          <w:szCs w:val="74"/>
          <w:b w:val="1"/>
          <w:bCs w:val="1"/>
        </w:rPr>
        <w:t xml:space="preserve">Azure architecture</w:t>
      </w:r>
    </w:p>
    <w:p>
      <w:pPr>
        <w:keepNext w:val="1"/>
        <w:spacing w:after="260" w:line="240" w:lineRule="auto"/>
      </w:pPr>
      <w:r>
        <w:rPr>
          <w:color w:val="102A43"/>
          <w:sz w:val="86"/>
          <w:szCs w:val="86"/>
          <w:b w:val="1"/>
          <w:bCs w:val="1"/>
        </w:rPr>
        <w:t xml:space="preserve">Assessment</w:t>
      </w:r>
    </w:p>
    <w:p>
      <w:pPr>
        <w:keepNext w:val="1"/>
        <w:spacing w:after="60"/>
      </w:pPr>
      <w:r>
        <w:rPr>
          <w:color w:val="007F95"/>
          <w:sz w:val="16"/>
          <w:szCs w:val="16"/>
          <w:b w:val="1"/>
          <w:bCs w:val="1"/>
          <w:spacing w:val="20"/>
        </w:rPr>
        <w:t xml:space="preserve">PREPARED FOR</w:t>
      </w:r>
    </w:p>
    <w:p>
      <w:pPr>
        <w:keepNext w:val="1"/>
        <w:spacing w:after="160"/>
      </w:pPr>
      <w:r>
        <w:rPr>
          <w:color w:val="102A43"/>
          <w:sz w:val="46"/>
          <w:szCs w:val="46"/>
        </w:rPr>
        <w:t xml:space="preserve">Contoso Corp</w:t>
      </w:r>
    </w:p>
    <w:p>
      <w:pPr>
        <w:keepNext w:val="1"/>
        <w:spacing w:after="280"/>
      </w:pPr>
      <w:r>
        <w:rPr>
          <w:color w:val="52627A"/>
          <w:sz w:val="22"/>
          <w:szCs w:val="22"/>
        </w:rPr>
        <w:t xml:space="preserve">A clear view of resource posture, business risk and the priorities for a stronger Azure environment.</w:t>
      </w:r>
    </w:p>
    <w:tbl>
      <w:tblGrid>
        <w:gridCol w:w="3600" w:type="dxa"/>
        <w:gridCol w:w="2700" w:type="dxa"/>
        <w:gridCol w:w="2700" w:type="dxa"/>
      </w:tblGrid>
      <w:tblPr>
        <w:tblW w:w="9000" w:type="dxa"/>
        <w:tblInd w:w="240" w:type="dxa"/>
        <w:tblLayout w:type="fixed"/>
        <w:tblCellMar>
          <w:top w:w="220" w:type="dxa"/>
          <w:left w:w="240" w:type="dxa"/>
          <w:right w:w="240" w:type="dxa"/>
          <w:bottom w:w="220" w:type="dxa"/>
        </w:tblCellMar>
        <w:tblBorders>
          <w:top w:val="single" w:sz="0"/>
          <w:left w:val="single" w:sz="0"/>
          <w:right w:val="single" w:sz="0"/>
          <w:bottom w:val="single" w:sz="0"/>
          <w:insideH w:val="single" w:sz="0"/>
          <w:insideV w:val="single" w:sz="0"/>
        </w:tblBorders>
      </w:tblPr>
      <w:tr>
        <w:trPr>
          <w:cantSplit w:val="1"/>
        </w:trPr>
        <w:tc>
          <w:tcPr>
            <w:tcW w:w="3600" w:type="dxa"/>
            <w:vAlign w:val="center"/>
            <w:shd w:val="clear" w:fill="102A43"/>
            <w:noWrap/>
          </w:tcPr>
          <w:p>
            <w:pPr>
              <w:spacing w:after="50" w:line="240" w:lineRule="auto"/>
            </w:pPr>
            <w:r>
              <w:rPr>
                <w:color w:val="65DDD1"/>
                <w:sz w:val="94"/>
                <w:szCs w:val="94"/>
                <w:b w:val="1"/>
                <w:bCs w:val="1"/>
              </w:rPr>
              <w:t xml:space="preserve">75%</w:t>
            </w:r>
          </w:p>
          <w:p>
            <w:pPr>
              <w:spacing w:after="40"/>
            </w:pPr>
            <w:r>
              <w:rPr>
                <w:color w:val="FFFFFF"/>
                <w:sz w:val="20"/>
                <w:szCs w:val="20"/>
                <w:b w:val="1"/>
                <w:bCs w:val="1"/>
              </w:rPr>
              <w:t xml:space="preserve">Well-Architected score</w:t>
            </w:r>
          </w:p>
          <w:p>
            <w:pPr>
              <w:spacing w:after="0"/>
            </w:pPr>
            <w:r>
              <w:rPr>
                <w:color w:val="C4D5E4"/>
                <w:sz w:val="16"/>
                <w:szCs w:val="16"/>
              </w:rPr>
              <w:t xml:space="preserve">Across scored resource checks</w:t>
            </w:r>
          </w:p>
        </w:tc>
        <w:tc>
          <w:tcPr>
            <w:tcW w:w="2700" w:type="dxa"/>
            <w:vAlign w:val="center"/>
            <w:shd w:val="clear" w:fill="102A43"/>
            <w:noWrap/>
          </w:tcPr>
          <w:p>
            <w:pPr>
              <w:spacing w:after="80" w:line="240" w:lineRule="auto"/>
            </w:pPr>
            <w:r>
              <w:rPr>
                <w:color w:val="FFFFFF"/>
                <w:sz w:val="58"/>
                <w:szCs w:val="58"/>
                <w:b w:val="1"/>
                <w:bCs w:val="1"/>
              </w:rPr>
              <w:t xml:space="preserve">3</w:t>
            </w:r>
          </w:p>
          <w:p>
            <w:pPr>
              <w:spacing w:after="40"/>
            </w:pPr>
            <w:r>
              <w:rPr>
                <w:color w:val="FFFFFF"/>
                <w:sz w:val="20"/>
                <w:szCs w:val="20"/>
                <w:b w:val="1"/>
                <w:bCs w:val="1"/>
              </w:rPr>
              <w:t xml:space="preserve">Priority findings</w:t>
            </w:r>
          </w:p>
          <w:p>
            <w:pPr>
              <w:spacing w:after="0"/>
            </w:pPr>
            <w:r>
              <w:rPr>
                <w:color w:val="C4D5E4"/>
                <w:sz w:val="16"/>
                <w:szCs w:val="16"/>
              </w:rPr>
              <w:t xml:space="preserve">Critical + high severity</w:t>
            </w:r>
          </w:p>
        </w:tc>
        <w:tc>
          <w:tcPr>
            <w:tcW w:w="2700" w:type="dxa"/>
            <w:vAlign w:val="center"/>
            <w:shd w:val="clear" w:fill="102A43"/>
            <w:noWrap/>
          </w:tcPr>
          <w:p>
            <w:pPr>
              <w:spacing w:after="80" w:line="240" w:lineRule="auto"/>
            </w:pPr>
            <w:r>
              <w:rPr>
                <w:color w:val="FFFFFF"/>
                <w:sz w:val="58"/>
                <w:szCs w:val="58"/>
                <w:b w:val="1"/>
                <w:bCs w:val="1"/>
              </w:rPr>
              <w:t xml:space="preserve">5</w:t>
            </w:r>
          </w:p>
          <w:p>
            <w:pPr>
              <w:spacing w:after="40"/>
            </w:pPr>
            <w:r>
              <w:rPr>
                <w:color w:val="FFFFFF"/>
                <w:sz w:val="20"/>
                <w:szCs w:val="20"/>
                <w:b w:val="1"/>
                <w:bCs w:val="1"/>
              </w:rPr>
              <w:t xml:space="preserve">Resource findings</w:t>
            </w:r>
          </w:p>
          <w:p>
            <w:pPr>
              <w:spacing w:after="0"/>
            </w:pPr>
            <w:r>
              <w:rPr>
                <w:color w:val="C4D5E4"/>
                <w:sz w:val="16"/>
                <w:szCs w:val="16"/>
              </w:rPr>
              <w:t xml:space="preserve">Across the selected scope</w:t>
            </w:r>
          </w:p>
        </w:tc>
      </w:tr>
    </w:tbl>
    <w:p>
      <w:pPr>
        <w:keepNext w:val="1"/>
        <w:spacing w:before="260" w:after="80"/>
      </w:pPr>
      <w:r>
        <w:rPr>
          <w:color w:val="007F95"/>
          <w:sz w:val="16"/>
          <w:szCs w:val="16"/>
          <w:b w:val="1"/>
          <w:bCs w:val="1"/>
          <w:spacing w:val="20"/>
        </w:rPr>
        <w:t xml:space="preserve">ASSESSMENT SNAPSHOT</w:t>
      </w:r>
    </w:p>
    <w:p>
      <w:pPr>
        <w:spacing w:after="240"/>
      </w:pPr>
      <w:r>
        <w:rPr>
          <w:color w:val="102A43"/>
          <w:sz w:val="24"/>
          <w:szCs w:val="24"/>
          <w:b w:val="1"/>
          <w:bCs w:val="1"/>
        </w:rPr>
        <w:t xml:space="preserve">3 critical or high severity findings to prioritise. Use the remediation roadmap to plan the next actions.</w:t>
      </w:r>
    </w:p>
    <w:p>
      <w:pPr>
        <w:keepNext w:val="1"/>
        <w:spacing w:after="80"/>
      </w:pPr>
      <w:r>
        <w:rPr>
          <w:color w:val="007F95"/>
          <w:sz w:val="16"/>
          <w:szCs w:val="16"/>
          <w:b w:val="1"/>
          <w:bCs w:val="1"/>
          <w:spacing w:val="20"/>
        </w:rPr>
        <w:t xml:space="preserve">SCOPE &amp; BASIS</w:t>
      </w:r>
    </w:p>
    <w:p>
      <w:pPr>
        <w:spacing w:after="200"/>
      </w:pPr>
      <w:r>
        <w:rPr>
          <w:color w:val="102A43"/>
          <w:sz w:val="20"/>
          <w:szCs w:val="20"/>
        </w:rPr>
        <w:t xml:space="preserve">3 subscriptions / Microsoft Well-Architected Framework / Enterprise rule set</w:t>
      </w:r>
    </w:p>
    <w:p>
      <w:pPr>
        <w:spacing w:after="80"/>
        <w:pBdr>
          <w:top w:val="single" w:sz="4" w:color="D9E3E9"/>
        </w:pBdr>
      </w:pPr>
      <w:r>
        <w:rPr>
          <w:color w:val="52627A"/>
          <w:sz w:val="16"/>
          <w:szCs w:val="16"/>
          <w:b w:val="1"/>
          <w:bCs w:val="1"/>
        </w:rPr>
        <w:t xml:space="preserve">ASSESSED  </w:t>
      </w:r>
      <w:r>
        <w:rPr>
          <w:color w:val="102A43"/>
          <w:sz w:val="18"/>
          <w:szCs w:val="18"/>
        </w:rPr>
        <w:t xml:space="preserve">14 September 2026</w:t>
      </w:r>
      <w:r>
        <w:rPr>
          <w:color w:val="52627A"/>
          <w:sz w:val="16"/>
          <w:szCs w:val="16"/>
          <w:b w:val="1"/>
          <w:bCs w:val="1"/>
        </w:rPr>
        <w:t xml:space="preserve">     ISSUED  </w:t>
      </w:r>
      <w:r>
        <w:rPr>
          <w:color w:val="102A43"/>
          <w:sz w:val="18"/>
          <w:szCs w:val="18"/>
        </w:rPr>
        <w:t xml:space="preserve">16 September 2026</w:t>
      </w:r>
    </w:p>
    <w:p>
      <w:pPr>
        <w:spacing w:after="0"/>
      </w:pPr>
      <w:r>
        <w:rPr>
          <w:color w:val="52627A"/>
          <w:sz w:val="18"/>
          <w:szCs w:val="18"/>
        </w:rPr>
        <w:t xml:space="preserve">Standard review / Completed</w:t>
      </w:r>
    </w:p>
    <w:p>
      <w:pPr>
        <w:keepNext w:val="1"/>
        <w:pageBreakBefore w:val="1"/>
        <w:spacing w:after="160"/>
      </w:pPr>
      <w:r>
        <w:rPr>
          <w:color w:val="102A43"/>
          <w:sz w:val="48"/>
          <w:szCs w:val="48"/>
          <w:b w:val="1"/>
          <w:bCs w:val="1"/>
        </w:rPr>
        <w:t xml:space="preserve">Contents</w:t>
      </w:r>
    </w:p>
    <w:p>
      <w:pPr>
        <w:keepNext w:val="1"/>
        <w:spacing w:before="0" w:after="90"/>
        <w:pBdr>
          <w:bottom w:val="single" w:sz="8" w:color="007F95"/>
        </w:pBdr>
      </w:pPr>
      <w:r>
        <w:rPr>
          <w:sz w:val="8"/>
          <w:szCs w:val="8"/>
        </w:rPr>
        <w:t xml:space="preserve"/>
      </w:r>
    </w:p>
    <w:p>
      <w:pPr>
        <w:spacing w:after="120"/>
      </w:pPr>
      <w:r>
        <w:rPr/>
        <w:t xml:space="preserve"/>
      </w:r>
    </w:p>
    <w:p>
      <w:pPr>
        <w:tabs>
          <w:tab w:val="right" w:leader="dot" w:pos="9062"/>
        </w:tabs>
      </w:pPr>
      <w:r>
        <w:fldChar w:fldCharType="begin"/>
      </w:r>
      <w:r>
        <w:instrText xml:space="preserve">TOC \o 1-2 \h \z \u</w:instrText>
      </w:r>
      <w:r>
        <w:fldChar w:fldCharType="separate"/>
      </w:r>
      <w:hyperlink w:anchor="_Toc0" w:history="1">
        <w:r>
          <w:rPr>
            <w:rFonts w:ascii="Calibri" w:hAnsi="Calibri" w:eastAsia="Calibri" w:cs="Calibri"/>
            <w:color w:val="102A43"/>
            <w:sz w:val="22"/>
            <w:szCs w:val="22"/>
          </w:rPr>
          <w:t>Executive Summary</w:t>
        </w:r>
        <w:r>
          <w:tab/>
        </w:r>
        <w:r>
          <w:fldChar w:fldCharType="begin"/>
        </w:r>
        <w:r>
          <w:instrText xml:space="preserve">PAGEREF 0 \h</w:instrText>
        </w:r>
        <w:r>
          <w:fldChar w:fldCharType="end"/>
        </w:r>
      </w:hyperlink>
    </w:p>
    <w:p>
      <w:pPr>
        <w:tabs>
          <w:tab w:val="right" w:leader="dot" w:pos="9062"/>
        </w:tabs>
      </w:pPr>
      <w:hyperlink w:anchor="_Toc11" w:history="1">
        <w:r>
          <w:rPr>
            <w:rFonts w:ascii="Calibri" w:hAnsi="Calibri" w:eastAsia="Calibri" w:cs="Calibri"/>
            <w:color w:val="102A43"/>
            <w:sz w:val="22"/>
            <w:szCs w:val="22"/>
          </w:rPr>
          <w:t>Progress</w:t>
        </w:r>
        <w:r>
          <w:tab/>
        </w:r>
        <w:r>
          <w:fldChar w:fldCharType="begin"/>
        </w:r>
        <w:r>
          <w:instrText xml:space="preserve">PAGEREF 11 \h</w:instrText>
        </w:r>
        <w:r>
          <w:fldChar w:fldCharType="end"/>
        </w:r>
      </w:hyperlink>
    </w:p>
    <w:p>
      <w:pPr>
        <w:tabs>
          <w:tab w:val="right" w:leader="dot" w:pos="9062"/>
        </w:tabs>
      </w:pPr>
      <w:hyperlink w:anchor="_Toc12" w:history="1">
        <w:r>
          <w:rPr>
            <w:rFonts w:ascii="Calibri" w:hAnsi="Calibri" w:eastAsia="Calibri" w:cs="Calibri"/>
            <w:color w:val="102A43"/>
            <w:sz w:val="22"/>
            <w:szCs w:val="22"/>
          </w:rPr>
          <w:t>Azure Estate Overview</w:t>
        </w:r>
        <w:r>
          <w:tab/>
        </w:r>
        <w:r>
          <w:fldChar w:fldCharType="begin"/>
        </w:r>
        <w:r>
          <w:instrText xml:space="preserve">PAGEREF 12 \h</w:instrText>
        </w:r>
        <w:r>
          <w:fldChar w:fldCharType="end"/>
        </w:r>
      </w:hyperlink>
    </w:p>
    <w:p>
      <w:pPr>
        <w:tabs>
          <w:tab w:val="right" w:leader="dot" w:pos="9062"/>
        </w:tabs>
      </w:pPr>
      <w:hyperlink w:anchor="_Toc14" w:history="1">
        <w:r>
          <w:rPr>
            <w:rFonts w:ascii="Calibri" w:hAnsi="Calibri" w:eastAsia="Calibri" w:cs="Calibri"/>
            <w:color w:val="102A43"/>
            <w:sz w:val="22"/>
            <w:szCs w:val="22"/>
          </w:rPr>
          <w:t>Cost Overview</w:t>
        </w:r>
        <w:r>
          <w:tab/>
        </w:r>
        <w:r>
          <w:fldChar w:fldCharType="begin"/>
        </w:r>
        <w:r>
          <w:instrText xml:space="preserve">PAGEREF 14 \h</w:instrText>
        </w:r>
        <w:r>
          <w:fldChar w:fldCharType="end"/>
        </w:r>
      </w:hyperlink>
    </w:p>
    <w:p>
      <w:pPr>
        <w:tabs>
          <w:tab w:val="right" w:leader="dot" w:pos="9062"/>
        </w:tabs>
      </w:pPr>
      <w:hyperlink w:anchor="_Toc19" w:history="1">
        <w:r>
          <w:rPr>
            <w:rFonts w:ascii="Calibri" w:hAnsi="Calibri" w:eastAsia="Calibri" w:cs="Calibri"/>
            <w:color w:val="102A43"/>
            <w:sz w:val="22"/>
            <w:szCs w:val="22"/>
          </w:rPr>
          <w:t>Domain Reviews</w:t>
        </w:r>
        <w:r>
          <w:tab/>
        </w:r>
        <w:r>
          <w:fldChar w:fldCharType="begin"/>
        </w:r>
        <w:r>
          <w:instrText xml:space="preserve">PAGEREF 19 \h</w:instrText>
        </w:r>
        <w:r>
          <w:fldChar w:fldCharType="end"/>
        </w:r>
      </w:hyperlink>
    </w:p>
    <w:p>
      <w:pPr>
        <w:tabs>
          <w:tab w:val="right" w:leader="dot" w:pos="9062"/>
        </w:tabs>
        <w:ind w:left="200"/>
      </w:pPr>
      <w:hyperlink w:anchor="_Toc20" w:history="1">
        <w:r>
          <w:rPr>
            <w:rFonts w:ascii="Calibri" w:hAnsi="Calibri" w:eastAsia="Calibri" w:cs="Calibri"/>
            <w:color w:val="102A43"/>
            <w:sz w:val="22"/>
            <w:szCs w:val="22"/>
          </w:rPr>
          <w:t>Reliability</w:t>
        </w:r>
        <w:r>
          <w:tab/>
        </w:r>
        <w:r>
          <w:fldChar w:fldCharType="begin"/>
        </w:r>
        <w:r>
          <w:instrText xml:space="preserve">PAGEREF 20 \h</w:instrText>
        </w:r>
        <w:r>
          <w:fldChar w:fldCharType="end"/>
        </w:r>
      </w:hyperlink>
    </w:p>
    <w:p>
      <w:pPr>
        <w:tabs>
          <w:tab w:val="right" w:leader="dot" w:pos="9062"/>
        </w:tabs>
        <w:ind w:left="200"/>
      </w:pPr>
      <w:hyperlink w:anchor="_Toc25" w:history="1">
        <w:r>
          <w:rPr>
            <w:rFonts w:ascii="Calibri" w:hAnsi="Calibri" w:eastAsia="Calibri" w:cs="Calibri"/>
            <w:color w:val="102A43"/>
            <w:sz w:val="22"/>
            <w:szCs w:val="22"/>
          </w:rPr>
          <w:t>Security</w:t>
        </w:r>
        <w:r>
          <w:tab/>
        </w:r>
        <w:r>
          <w:fldChar w:fldCharType="begin"/>
        </w:r>
        <w:r>
          <w:instrText xml:space="preserve">PAGEREF 25 \h</w:instrText>
        </w:r>
        <w:r>
          <w:fldChar w:fldCharType="end"/>
        </w:r>
      </w:hyperlink>
    </w:p>
    <w:p>
      <w:pPr>
        <w:tabs>
          <w:tab w:val="right" w:leader="dot" w:pos="9062"/>
        </w:tabs>
        <w:ind w:left="200"/>
      </w:pPr>
      <w:hyperlink w:anchor="_Toc30" w:history="1">
        <w:r>
          <w:rPr>
            <w:rFonts w:ascii="Calibri" w:hAnsi="Calibri" w:eastAsia="Calibri" w:cs="Calibri"/>
            <w:color w:val="102A43"/>
            <w:sz w:val="22"/>
            <w:szCs w:val="22"/>
          </w:rPr>
          <w:t>Cost Optimization</w:t>
        </w:r>
        <w:r>
          <w:tab/>
        </w:r>
        <w:r>
          <w:fldChar w:fldCharType="begin"/>
        </w:r>
        <w:r>
          <w:instrText xml:space="preserve">PAGEREF 30 \h</w:instrText>
        </w:r>
        <w:r>
          <w:fldChar w:fldCharType="end"/>
        </w:r>
      </w:hyperlink>
    </w:p>
    <w:p>
      <w:pPr>
        <w:tabs>
          <w:tab w:val="right" w:leader="dot" w:pos="9062"/>
        </w:tabs>
        <w:ind w:left="200"/>
      </w:pPr>
      <w:hyperlink w:anchor="_Toc32" w:history="1">
        <w:r>
          <w:rPr>
            <w:rFonts w:ascii="Calibri" w:hAnsi="Calibri" w:eastAsia="Calibri" w:cs="Calibri"/>
            <w:color w:val="102A43"/>
            <w:sz w:val="22"/>
            <w:szCs w:val="22"/>
          </w:rPr>
          <w:t>Operational Excellence</w:t>
        </w:r>
        <w:r>
          <w:tab/>
        </w:r>
        <w:r>
          <w:fldChar w:fldCharType="begin"/>
        </w:r>
        <w:r>
          <w:instrText xml:space="preserve">PAGEREF 32 \h</w:instrText>
        </w:r>
        <w:r>
          <w:fldChar w:fldCharType="end"/>
        </w:r>
      </w:hyperlink>
    </w:p>
    <w:p>
      <w:pPr>
        <w:tabs>
          <w:tab w:val="right" w:leader="dot" w:pos="9062"/>
        </w:tabs>
        <w:ind w:left="200"/>
      </w:pPr>
      <w:hyperlink w:anchor="_Toc37" w:history="1">
        <w:r>
          <w:rPr>
            <w:rFonts w:ascii="Calibri" w:hAnsi="Calibri" w:eastAsia="Calibri" w:cs="Calibri"/>
            <w:color w:val="102A43"/>
            <w:sz w:val="22"/>
            <w:szCs w:val="22"/>
          </w:rPr>
          <w:t>Performance Efficiency</w:t>
        </w:r>
        <w:r>
          <w:tab/>
        </w:r>
        <w:r>
          <w:fldChar w:fldCharType="begin"/>
        </w:r>
        <w:r>
          <w:instrText xml:space="preserve">PAGEREF 37 \h</w:instrText>
        </w:r>
        <w:r>
          <w:fldChar w:fldCharType="end"/>
        </w:r>
      </w:hyperlink>
    </w:p>
    <w:p>
      <w:pPr>
        <w:tabs>
          <w:tab w:val="right" w:leader="dot" w:pos="9062"/>
        </w:tabs>
      </w:pPr>
      <w:hyperlink w:anchor="_Toc39" w:history="1">
        <w:r>
          <w:rPr>
            <w:rFonts w:ascii="Calibri" w:hAnsi="Calibri" w:eastAsia="Calibri" w:cs="Calibri"/>
            <w:color w:val="102A43"/>
            <w:sz w:val="22"/>
            <w:szCs w:val="22"/>
          </w:rPr>
          <w:t>Remediation Roadmap</w:t>
        </w:r>
        <w:r>
          <w:tab/>
        </w:r>
        <w:r>
          <w:fldChar w:fldCharType="begin"/>
        </w:r>
        <w:r>
          <w:instrText xml:space="preserve">PAGEREF 39 \h</w:instrText>
        </w:r>
        <w:r>
          <w:fldChar w:fldCharType="end"/>
        </w:r>
      </w:hyperlink>
    </w:p>
    <w:p>
      <w:pPr>
        <w:tabs>
          <w:tab w:val="right" w:leader="dot" w:pos="9062"/>
        </w:tabs>
      </w:pPr>
      <w:hyperlink w:anchor="_Toc40" w:history="1">
        <w:r>
          <w:rPr>
            <w:rFonts w:ascii="Calibri" w:hAnsi="Calibri" w:eastAsia="Calibri" w:cs="Calibri"/>
            <w:color w:val="102A43"/>
            <w:sz w:val="22"/>
            <w:szCs w:val="22"/>
          </w:rPr>
          <w:t>Detailed Findings Appendix</w:t>
        </w:r>
        <w:r>
          <w:tab/>
        </w:r>
        <w:r>
          <w:fldChar w:fldCharType="begin"/>
        </w:r>
        <w:r>
          <w:instrText xml:space="preserve">PAGEREF 40 \h</w:instrText>
        </w:r>
        <w:r>
          <w:fldChar w:fldCharType="end"/>
        </w:r>
      </w:hyperlink>
    </w:p>
    <w:p>
      <w:pPr>
        <w:tabs>
          <w:tab w:val="right" w:leader="dot" w:pos="9062"/>
        </w:tabs>
      </w:pPr>
      <w:hyperlink w:anchor="_Toc43" w:history="1">
        <w:r>
          <w:rPr>
            <w:rFonts w:ascii="Calibri" w:hAnsi="Calibri" w:eastAsia="Calibri" w:cs="Calibri"/>
            <w:color w:val="102A43"/>
            <w:sz w:val="22"/>
            <w:szCs w:val="22"/>
          </w:rPr>
          <w:t>Glossary &amp; Reference</w:t>
        </w:r>
        <w:r>
          <w:tab/>
        </w:r>
        <w:r>
          <w:fldChar w:fldCharType="begin"/>
        </w:r>
        <w:r>
          <w:instrText xml:space="preserve">PAGEREF 43 \h</w:instrText>
        </w:r>
        <w:r>
          <w:fldChar w:fldCharType="end"/>
        </w:r>
      </w:hyperlink>
    </w:p>
    <w:p>
      <w:r>
        <w:fldChar w:fldCharType="end"/>
      </w:r>
    </w:p>
    <w:p>
      <w:pPr>
        <w:spacing w:after="80"/>
      </w:pPr>
      <w:r>
        <w:rPr/>
        <w:t xml:space="preserve"/>
      </w:r>
    </w:p>
    <w:p>
      <w:pPr>
        <w:spacing w:after="0"/>
      </w:pPr>
      <w:r>
        <w:rPr>
          <w:color w:val="52627A"/>
          <w:sz w:val="18"/>
          <w:szCs w:val="18"/>
          <w:i w:val="1"/>
          <w:iCs w:val="1"/>
        </w:rPr>
        <w:t xml:space="preserve">Note: If page numbers are not visible, right-click the table of contents in Word and select Update Field.</w:t>
      </w:r>
    </w:p>
    <w:p>
      <w:pPr>
        <w:pStyle w:val="Heading1"/>
      </w:pPr>
      <w:bookmarkStart w:id="0" w:name="_Toc0"/>
      <w:r>
        <w:t>Executive Summary</w:t>
      </w:r>
      <w:bookmarkEnd w:id="0"/>
    </w:p>
    <w:p>
      <w:pPr>
        <w:keepNext w:val="1"/>
        <w:spacing w:before="0" w:after="90"/>
        <w:pBdr>
          <w:bottom w:val="single" w:sz="8" w:color="007F95"/>
        </w:pBdr>
      </w:pPr>
      <w:r>
        <w:rPr>
          <w:sz w:val="8"/>
          <w:szCs w:val="8"/>
        </w:rPr>
        <w:t xml:space="preserve"/>
      </w:r>
    </w:p>
    <w:p>
      <w:pPr>
        <w:pStyle w:val="Heading3"/>
      </w:pPr>
      <w:bookmarkStart w:id="1" w:name="_Toc1"/>
      <w:r>
        <w:t>Context and Methodology</w:t>
      </w:r>
      <w:bookmarkEnd w:id="1"/>
    </w:p>
    <w:p>
      <w:pPr>
        <w:spacing w:after="200"/>
      </w:pPr>
      <w:r>
        <w:rPr>
          <w:sz w:val="22"/>
          <w:szCs w:val="22"/>
        </w:rPr>
        <w:t xml:space="preserve">This report presents the current technical posture of the Microsoft Azure environment for Contoso Corp. The review evaluates control coverage, configuration quality, and operational readiness across the five Azure Well-Architected Framework pillars: Reliability, Security, Cost Optimization, Operational Excellence, and Performance Efficiency. Findings and recommendations are aligned to Microsoft Azure Well-Architected guidance so the report can be read clearly from current state through to recommended next steps.</w:t>
      </w:r>
    </w:p>
    <w:p>
      <w:pPr>
        <w:pStyle w:val="Heading3"/>
      </w:pPr>
      <w:bookmarkStart w:id="2" w:name="_Toc2"/>
      <w:r>
        <w:t>Overall Platform Assessment</w:t>
      </w:r>
      <w:bookmarkEnd w:id="2"/>
    </w:p>
    <w:p>
      <w:pPr>
        <w:spacing w:after="160"/>
      </w:pPr>
      <w:r>
        <w:rPr>
          <w:sz w:val="22"/>
          <w:szCs w:val="22"/>
        </w:rPr>
        <w:t xml:space="preserve">Overall, the Azure environment for Contoso Corp demonstrates a Good level of alignment with Azure best practices, with an average domain posture score of 75%. The strongest current alignment is visible in Operational Excellence and Cost Optimization, while the largest concentration of recommended improvement sits in Security and Reliability. The review identified 0 critical and 3 high severity findings that represent the most significant areas requiring attention.</w:t>
      </w:r>
    </w:p>
    <w:tbl>
      <w:tblGrid>
        <w:gridCol w:w="2250" w:type="dxa"/>
        <w:gridCol w:w="2250" w:type="dxa"/>
        <w:gridCol w:w="2250" w:type="dxa"/>
        <w:gridCol w:w="2250" w:type="dxa"/>
      </w:tblGrid>
      <w:tblPr>
        <w:tblW w:w="9000" w:type="dxa"/>
        <w:tblInd w:w="180" w:type="dxa"/>
        <w:tblLayout w:type="fixed"/>
        <w:tblCellMar>
          <w:top w:w="180" w:type="dxa"/>
          <w:left w:w="180" w:type="dxa"/>
          <w:right w:w="180" w:type="dxa"/>
          <w:bottom w:w="1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880" w:hRule="atLeast"/>
          <w:cantSplit w:val="1"/>
        </w:trPr>
        <w:tc>
          <w:tcPr>
            <w:tcW w:w="2250" w:type="dxa"/>
            <w:vAlign w:val="center"/>
            <w:shd w:val="clear" w:fill="102A43"/>
            <w:noWrap/>
          </w:tcPr>
          <w:p>
            <w:pPr>
              <w:spacing w:after="60" w:line="240" w:lineRule="auto"/>
            </w:pPr>
            <w:r>
              <w:rPr>
                <w:color w:val="65DDD1"/>
                <w:sz w:val="52"/>
                <w:szCs w:val="52"/>
                <w:b w:val="1"/>
                <w:bCs w:val="1"/>
              </w:rPr>
              <w:t xml:space="preserve">75%</w:t>
            </w:r>
          </w:p>
          <w:p>
            <w:pPr>
              <w:spacing w:after="0"/>
            </w:pPr>
            <w:r>
              <w:rPr>
                <w:color w:val="C4D5E4"/>
                <w:sz w:val="18"/>
                <w:szCs w:val="18"/>
                <w:b w:val="0"/>
                <w:bCs w:val="0"/>
              </w:rPr>
              <w:t xml:space="preserve">Overall WAF score</w:t>
            </w:r>
          </w:p>
        </w:tc>
        <w:tc>
          <w:tcPr>
            <w:tcW w:w="2250" w:type="dxa"/>
            <w:vAlign w:val="center"/>
            <w:shd w:val="clear" w:fill="102A43"/>
            <w:noWrap/>
          </w:tcPr>
          <w:p>
            <w:pPr>
              <w:spacing w:after="60" w:line="240" w:lineRule="auto"/>
            </w:pPr>
            <w:r>
              <w:rPr>
                <w:color w:val="FFFFFF"/>
                <w:sz w:val="52"/>
                <w:szCs w:val="52"/>
                <w:b w:val="1"/>
                <w:bCs w:val="1"/>
              </w:rPr>
              <w:t xml:space="preserve">5</w:t>
            </w:r>
          </w:p>
          <w:p>
            <w:pPr>
              <w:spacing w:after="0"/>
            </w:pPr>
            <w:r>
              <w:rPr>
                <w:color w:val="C4D5E4"/>
                <w:sz w:val="18"/>
                <w:szCs w:val="18"/>
                <w:b w:val="0"/>
                <w:bCs w:val="0"/>
              </w:rPr>
              <w:t xml:space="preserve">Active findings</w:t>
            </w:r>
          </w:p>
        </w:tc>
        <w:tc>
          <w:tcPr>
            <w:tcW w:w="2250" w:type="dxa"/>
            <w:vAlign w:val="center"/>
            <w:shd w:val="clear" w:fill="102A43"/>
            <w:noWrap/>
          </w:tcPr>
          <w:p>
            <w:pPr>
              <w:spacing w:after="60" w:line="240" w:lineRule="auto"/>
            </w:pPr>
            <w:r>
              <w:rPr>
                <w:color w:val="FFFFFF"/>
                <w:sz w:val="52"/>
                <w:szCs w:val="52"/>
                <w:b w:val="1"/>
                <w:bCs w:val="1"/>
              </w:rPr>
              <w:t xml:space="preserve">3</w:t>
            </w:r>
          </w:p>
          <w:p>
            <w:pPr>
              <w:spacing w:after="0"/>
            </w:pPr>
            <w:r>
              <w:rPr>
                <w:color w:val="C4D5E4"/>
                <w:sz w:val="18"/>
                <w:szCs w:val="18"/>
                <w:b w:val="0"/>
                <w:bCs w:val="0"/>
              </w:rPr>
              <w:t xml:space="preserve">Critical / high</w:t>
            </w:r>
          </w:p>
        </w:tc>
        <w:tc>
          <w:tcPr>
            <w:tcW w:w="2250" w:type="dxa"/>
            <w:vAlign w:val="center"/>
            <w:shd w:val="clear" w:fill="102A43"/>
            <w:noWrap/>
          </w:tcPr>
          <w:p>
            <w:pPr>
              <w:spacing w:after="60" w:line="240" w:lineRule="auto"/>
            </w:pPr>
            <w:r>
              <w:rPr>
                <w:color w:val="FFFFFF"/>
                <w:sz w:val="34"/>
                <w:szCs w:val="34"/>
                <w:b w:val="1"/>
                <w:bCs w:val="1"/>
              </w:rPr>
              <w:t xml:space="preserve">Enterprise</w:t>
            </w:r>
          </w:p>
          <w:p>
            <w:pPr>
              <w:spacing w:after="0"/>
            </w:pPr>
            <w:r>
              <w:rPr>
                <w:color w:val="C4D5E4"/>
                <w:sz w:val="18"/>
                <w:szCs w:val="18"/>
                <w:b w:val="0"/>
                <w:bCs w:val="0"/>
              </w:rPr>
              <w:t xml:space="preserve">WAF rule set</w:t>
            </w:r>
          </w:p>
        </w:tc>
      </w:tr>
    </w:tbl>
    <w:p>
      <w:pPr>
        <w:spacing w:after="160"/>
      </w:pPr>
      <w:r>
        <w:rPr/>
        <w:t xml:space="preserve"/>
      </w:r>
    </w:p>
    <w:tbl>
      <w:tblGrid>
        <w:gridCol w:w="2700" w:type="dxa"/>
        <w:gridCol w:w="800" w:type="dxa"/>
        <w:gridCol w:w="1700" w:type="dxa"/>
        <w:gridCol w:w="950" w:type="dxa"/>
        <w:gridCol w:w="950" w:type="dxa"/>
        <w:gridCol w:w="950" w:type="dxa"/>
        <w:gridCol w:w="95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2700" w:type="dxa"/>
            <w:vAlign w:val="center"/>
            <w:shd w:val="clear" w:fill="102A43"/>
            <w:noWrap/>
          </w:tcPr>
          <w:p>
            <w:pPr>
              <w:spacing w:after="0"/>
            </w:pPr>
            <w:r>
              <w:rPr>
                <w:rFonts w:ascii="Calibri" w:hAnsi="Calibri" w:eastAsia="Calibri" w:cs="Calibri"/>
                <w:color w:val="FFFFFF"/>
                <w:sz w:val="18"/>
                <w:szCs w:val="18"/>
                <w:b w:val="1"/>
                <w:bCs w:val="1"/>
              </w:rPr>
              <w:t xml:space="preserve">Domain</w:t>
            </w:r>
          </w:p>
        </w:tc>
        <w:tc>
          <w:tcPr>
            <w:tcW w:w="800" w:type="dxa"/>
            <w:vAlign w:val="center"/>
            <w:shd w:val="clear" w:fill="102A43"/>
            <w:noWrap/>
          </w:tcPr>
          <w:p>
            <w:pPr>
              <w:spacing w:after="0"/>
            </w:pPr>
            <w:r>
              <w:rPr>
                <w:rFonts w:ascii="Calibri" w:hAnsi="Calibri" w:eastAsia="Calibri" w:cs="Calibri"/>
                <w:color w:val="FFFFFF"/>
                <w:sz w:val="18"/>
                <w:szCs w:val="18"/>
                <w:b w:val="1"/>
                <w:bCs w:val="1"/>
              </w:rPr>
              <w:t xml:space="preserve">Score</w:t>
            </w:r>
          </w:p>
        </w:tc>
        <w:tc>
          <w:tcPr>
            <w:tcW w:w="1700" w:type="dxa"/>
            <w:vAlign w:val="center"/>
            <w:shd w:val="clear" w:fill="102A43"/>
            <w:noWrap/>
          </w:tcPr>
          <w:p>
            <w:pPr>
              <w:spacing w:after="0"/>
            </w:pPr>
            <w:r>
              <w:rPr>
                <w:rFonts w:ascii="Calibri" w:hAnsi="Calibri" w:eastAsia="Calibri" w:cs="Calibri"/>
                <w:color w:val="FFFFFF"/>
                <w:sz w:val="18"/>
                <w:szCs w:val="18"/>
                <w:b w:val="1"/>
                <w:bCs w:val="1"/>
              </w:rPr>
              <w:t xml:space="preserve">Maturity</w:t>
            </w:r>
          </w:p>
        </w:tc>
        <w:tc>
          <w:tcPr>
            <w:tcW w:w="950" w:type="dxa"/>
            <w:vAlign w:val="center"/>
            <w:shd w:val="clear" w:fill="102A43"/>
            <w:noWrap/>
          </w:tcPr>
          <w:p>
            <w:pPr>
              <w:spacing w:after="0"/>
            </w:pPr>
            <w:r>
              <w:rPr>
                <w:rFonts w:ascii="Calibri" w:hAnsi="Calibri" w:eastAsia="Calibri" w:cs="Calibri"/>
                <w:color w:val="FFFFFF"/>
                <w:sz w:val="18"/>
                <w:szCs w:val="18"/>
                <w:b w:val="1"/>
                <w:bCs w:val="1"/>
              </w:rPr>
              <w:t xml:space="preserve">Critical</w:t>
            </w:r>
          </w:p>
        </w:tc>
        <w:tc>
          <w:tcPr>
            <w:tcW w:w="950" w:type="dxa"/>
            <w:vAlign w:val="center"/>
            <w:shd w:val="clear" w:fill="102A43"/>
            <w:noWrap/>
          </w:tcPr>
          <w:p>
            <w:pPr>
              <w:spacing w:after="0"/>
            </w:pPr>
            <w:r>
              <w:rPr>
                <w:rFonts w:ascii="Calibri" w:hAnsi="Calibri" w:eastAsia="Calibri" w:cs="Calibri"/>
                <w:color w:val="FFFFFF"/>
                <w:sz w:val="18"/>
                <w:szCs w:val="18"/>
                <w:b w:val="1"/>
                <w:bCs w:val="1"/>
              </w:rPr>
              <w:t xml:space="preserve">High</w:t>
            </w:r>
          </w:p>
        </w:tc>
        <w:tc>
          <w:tcPr>
            <w:tcW w:w="950" w:type="dxa"/>
            <w:vAlign w:val="center"/>
            <w:shd w:val="clear" w:fill="102A43"/>
            <w:noWrap/>
          </w:tcPr>
          <w:p>
            <w:pPr>
              <w:spacing w:after="0"/>
            </w:pPr>
            <w:r>
              <w:rPr>
                <w:rFonts w:ascii="Calibri" w:hAnsi="Calibri" w:eastAsia="Calibri" w:cs="Calibri"/>
                <w:color w:val="FFFFFF"/>
                <w:sz w:val="18"/>
                <w:szCs w:val="18"/>
                <w:b w:val="1"/>
                <w:bCs w:val="1"/>
              </w:rPr>
              <w:t xml:space="preserve">Medium</w:t>
            </w:r>
          </w:p>
        </w:tc>
        <w:tc>
          <w:tcPr>
            <w:tcW w:w="950" w:type="dxa"/>
            <w:vAlign w:val="center"/>
            <w:shd w:val="clear" w:fill="102A43"/>
            <w:noWrap/>
          </w:tcPr>
          <w:p>
            <w:pPr>
              <w:spacing w:after="0"/>
            </w:pPr>
            <w:r>
              <w:rPr>
                <w:rFonts w:ascii="Calibri" w:hAnsi="Calibri" w:eastAsia="Calibri" w:cs="Calibri"/>
                <w:color w:val="FFFFFF"/>
                <w:sz w:val="18"/>
                <w:szCs w:val="18"/>
                <w:b w:val="1"/>
                <w:bCs w:val="1"/>
              </w:rPr>
              <w:t xml:space="preserve">Low</w:t>
            </w:r>
          </w:p>
        </w:tc>
      </w:tr>
      <w:tr>
        <w:trPr>
          <w:trHeight w:val="520" w:hRule="atLeast"/>
          <w:cantSplit w:val="1"/>
        </w:trPr>
        <w:tc>
          <w:tcPr>
            <w:tcW w:w="2700" w:type="dxa"/>
            <w:vAlign w:val="center"/>
            <w:shd w:val="clear" w:fill="FFFFFF"/>
            <w:noWrap/>
          </w:tcPr>
          <w:p>
            <w:pPr>
              <w:spacing w:after="0"/>
            </w:pPr>
            <w:r>
              <w:rPr>
                <w:sz w:val="22"/>
                <w:szCs w:val="22"/>
                <w:b w:val="1"/>
                <w:bCs w:val="1"/>
              </w:rPr>
              <w:t xml:space="preserve">Reliability</w:t>
            </w:r>
          </w:p>
        </w:tc>
        <w:tc>
          <w:tcPr>
            <w:tcW w:w="800" w:type="dxa"/>
            <w:vAlign w:val="center"/>
            <w:shd w:val="clear" w:fill="E8F3ED"/>
            <w:noWrap/>
          </w:tcPr>
          <w:p>
            <w:pPr>
              <w:jc w:val="center"/>
              <w:spacing w:after="0"/>
            </w:pPr>
            <w:r>
              <w:rPr>
                <w:color w:val="256451"/>
                <w:sz w:val="22"/>
                <w:szCs w:val="22"/>
                <w:b w:val="1"/>
                <w:bCs w:val="1"/>
              </w:rPr>
              <w:t xml:space="preserve">72%</w:t>
            </w:r>
          </w:p>
        </w:tc>
        <w:tc>
          <w:tcPr>
            <w:tcW w:w="1700" w:type="dxa"/>
            <w:vAlign w:val="center"/>
            <w:shd w:val="clear" w:fill="FFFFFF"/>
            <w:noWrap/>
          </w:tcPr>
          <w:p>
            <w:pPr>
              <w:spacing w:after="0"/>
            </w:pPr>
            <w:r>
              <w:rPr>
                <w:color w:val="102A43"/>
                <w:sz w:val="20"/>
                <w:szCs w:val="20"/>
                <w:b w:val="1"/>
                <w:bCs w:val="1"/>
              </w:rPr>
              <w:t xml:space="preserve">Mature</w:t>
            </w:r>
          </w:p>
        </w:tc>
        <w:tc>
          <w:tcPr>
            <w:tcW w:w="950" w:type="dxa"/>
            <w:vAlign w:val="center"/>
            <w:shd w:val="clear" w:fill="FFFFFF"/>
            <w:noWrap/>
          </w:tcPr>
          <w:p>
            <w:pPr>
              <w:jc w:val="center"/>
              <w:spacing w:after="0"/>
            </w:pPr>
            <w:r>
              <w:rPr>
                <w:color w:val="52627A"/>
                <w:sz w:val="22"/>
                <w:szCs w:val="22"/>
              </w:rPr>
              <w:t xml:space="preserve">0</w:t>
            </w:r>
          </w:p>
        </w:tc>
        <w:tc>
          <w:tcPr>
            <w:tcW w:w="950" w:type="dxa"/>
            <w:vAlign w:val="center"/>
            <w:shd w:val="clear" w:fill="FFFFFF"/>
            <w:noWrap/>
          </w:tcPr>
          <w:p>
            <w:pPr>
              <w:jc w:val="center"/>
              <w:spacing w:after="0"/>
            </w:pPr>
            <w:r>
              <w:rPr>
                <w:color w:val="9A4D15"/>
                <w:sz w:val="22"/>
                <w:szCs w:val="22"/>
              </w:rPr>
              <w:t xml:space="preserve">2</w:t>
            </w:r>
          </w:p>
        </w:tc>
        <w:tc>
          <w:tcPr>
            <w:tcW w:w="950" w:type="dxa"/>
            <w:vAlign w:val="center"/>
            <w:shd w:val="clear" w:fill="FFFFFF"/>
            <w:noWrap/>
          </w:tcPr>
          <w:p>
            <w:pPr>
              <w:jc w:val="center"/>
              <w:spacing w:after="0"/>
            </w:pPr>
            <w:r>
              <w:rPr>
                <w:color w:val="806013"/>
                <w:sz w:val="22"/>
                <w:szCs w:val="22"/>
              </w:rPr>
              <w:t xml:space="preserve">3</w:t>
            </w:r>
          </w:p>
        </w:tc>
        <w:tc>
          <w:tcPr>
            <w:tcW w:w="950" w:type="dxa"/>
            <w:vAlign w:val="center"/>
            <w:shd w:val="clear" w:fill="FFFFFF"/>
            <w:noWrap/>
          </w:tcPr>
          <w:p>
            <w:pPr>
              <w:jc w:val="center"/>
              <w:spacing w:after="0"/>
            </w:pPr>
            <w:r>
              <w:rPr>
                <w:color w:val="256451"/>
                <w:sz w:val="22"/>
                <w:szCs w:val="22"/>
              </w:rPr>
              <w:t xml:space="preserve">2</w:t>
            </w:r>
          </w:p>
        </w:tc>
      </w:tr>
      <w:tr>
        <w:trPr>
          <w:trHeight w:val="520" w:hRule="atLeast"/>
          <w:cantSplit w:val="1"/>
        </w:trPr>
        <w:tc>
          <w:tcPr>
            <w:tcW w:w="2700" w:type="dxa"/>
            <w:vAlign w:val="center"/>
            <w:shd w:val="clear" w:fill="F3F6F8"/>
            <w:noWrap/>
          </w:tcPr>
          <w:p>
            <w:pPr>
              <w:spacing w:after="0"/>
            </w:pPr>
            <w:r>
              <w:rPr>
                <w:sz w:val="22"/>
                <w:szCs w:val="22"/>
                <w:b w:val="1"/>
                <w:bCs w:val="1"/>
              </w:rPr>
              <w:t xml:space="preserve">Security</w:t>
            </w:r>
          </w:p>
        </w:tc>
        <w:tc>
          <w:tcPr>
            <w:tcW w:w="800" w:type="dxa"/>
            <w:vAlign w:val="center"/>
            <w:shd w:val="clear" w:fill="FBF3DC"/>
            <w:noWrap/>
          </w:tcPr>
          <w:p>
            <w:pPr>
              <w:jc w:val="center"/>
              <w:spacing w:after="0"/>
            </w:pPr>
            <w:r>
              <w:rPr>
                <w:color w:val="806013"/>
                <w:sz w:val="22"/>
                <w:szCs w:val="22"/>
                <w:b w:val="1"/>
                <w:bCs w:val="1"/>
              </w:rPr>
              <w:t xml:space="preserve">67%</w:t>
            </w:r>
          </w:p>
        </w:tc>
        <w:tc>
          <w:tcPr>
            <w:tcW w:w="1700" w:type="dxa"/>
            <w:vAlign w:val="center"/>
            <w:shd w:val="clear" w:fill="F3F6F8"/>
            <w:noWrap/>
          </w:tcPr>
          <w:p>
            <w:pPr>
              <w:spacing w:after="0"/>
            </w:pPr>
            <w:r>
              <w:rPr>
                <w:color w:val="102A43"/>
                <w:sz w:val="20"/>
                <w:szCs w:val="20"/>
                <w:b w:val="1"/>
                <w:bCs w:val="1"/>
              </w:rPr>
              <w:t xml:space="preserve">Moderate</w:t>
            </w:r>
          </w:p>
        </w:tc>
        <w:tc>
          <w:tcPr>
            <w:tcW w:w="950" w:type="dxa"/>
            <w:vAlign w:val="center"/>
            <w:shd w:val="clear" w:fill="F3F6F8"/>
            <w:noWrap/>
          </w:tcPr>
          <w:p>
            <w:pPr>
              <w:jc w:val="center"/>
              <w:spacing w:after="0"/>
            </w:pPr>
            <w:r>
              <w:rPr>
                <w:color w:val="52627A"/>
                <w:sz w:val="22"/>
                <w:szCs w:val="22"/>
              </w:rPr>
              <w:t xml:space="preserve">0</w:t>
            </w:r>
          </w:p>
        </w:tc>
        <w:tc>
          <w:tcPr>
            <w:tcW w:w="950" w:type="dxa"/>
            <w:vAlign w:val="center"/>
            <w:shd w:val="clear" w:fill="F3F6F8"/>
            <w:noWrap/>
          </w:tcPr>
          <w:p>
            <w:pPr>
              <w:jc w:val="center"/>
              <w:spacing w:after="0"/>
            </w:pPr>
            <w:r>
              <w:rPr>
                <w:color w:val="9A4D15"/>
                <w:sz w:val="22"/>
                <w:szCs w:val="22"/>
              </w:rPr>
              <w:t xml:space="preserve">3</w:t>
            </w:r>
          </w:p>
        </w:tc>
        <w:tc>
          <w:tcPr>
            <w:tcW w:w="950" w:type="dxa"/>
            <w:vAlign w:val="center"/>
            <w:shd w:val="clear" w:fill="F3F6F8"/>
            <w:noWrap/>
          </w:tcPr>
          <w:p>
            <w:pPr>
              <w:jc w:val="center"/>
              <w:spacing w:after="0"/>
            </w:pPr>
            <w:r>
              <w:rPr>
                <w:color w:val="806013"/>
                <w:sz w:val="22"/>
                <w:szCs w:val="22"/>
              </w:rPr>
              <w:t xml:space="preserve">4</w:t>
            </w:r>
          </w:p>
        </w:tc>
        <w:tc>
          <w:tcPr>
            <w:tcW w:w="950" w:type="dxa"/>
            <w:vAlign w:val="center"/>
            <w:shd w:val="clear" w:fill="F3F6F8"/>
            <w:noWrap/>
          </w:tcPr>
          <w:p>
            <w:pPr>
              <w:jc w:val="center"/>
              <w:spacing w:after="0"/>
            </w:pPr>
            <w:r>
              <w:rPr>
                <w:color w:val="256451"/>
                <w:sz w:val="22"/>
                <w:szCs w:val="22"/>
              </w:rPr>
              <w:t xml:space="preserve">2</w:t>
            </w:r>
          </w:p>
        </w:tc>
      </w:tr>
      <w:tr>
        <w:trPr>
          <w:trHeight w:val="520" w:hRule="atLeast"/>
          <w:cantSplit w:val="1"/>
        </w:trPr>
        <w:tc>
          <w:tcPr>
            <w:tcW w:w="2700" w:type="dxa"/>
            <w:vAlign w:val="center"/>
            <w:shd w:val="clear" w:fill="FFFFFF"/>
            <w:noWrap/>
          </w:tcPr>
          <w:p>
            <w:pPr>
              <w:spacing w:after="0"/>
            </w:pPr>
            <w:r>
              <w:rPr>
                <w:sz w:val="22"/>
                <w:szCs w:val="22"/>
                <w:b w:val="1"/>
                <w:bCs w:val="1"/>
              </w:rPr>
              <w:t xml:space="preserve">Cost Optimization</w:t>
            </w:r>
          </w:p>
        </w:tc>
        <w:tc>
          <w:tcPr>
            <w:tcW w:w="800" w:type="dxa"/>
            <w:vAlign w:val="center"/>
            <w:shd w:val="clear" w:fill="E8F3ED"/>
            <w:noWrap/>
          </w:tcPr>
          <w:p>
            <w:pPr>
              <w:jc w:val="center"/>
              <w:spacing w:after="0"/>
            </w:pPr>
            <w:r>
              <w:rPr>
                <w:color w:val="256451"/>
                <w:sz w:val="22"/>
                <w:szCs w:val="22"/>
                <w:b w:val="1"/>
                <w:bCs w:val="1"/>
              </w:rPr>
              <w:t xml:space="preserve">81%</w:t>
            </w:r>
          </w:p>
        </w:tc>
        <w:tc>
          <w:tcPr>
            <w:tcW w:w="1700" w:type="dxa"/>
            <w:vAlign w:val="center"/>
            <w:shd w:val="clear" w:fill="FFFFFF"/>
            <w:noWrap/>
          </w:tcPr>
          <w:p>
            <w:pPr>
              <w:spacing w:after="0"/>
            </w:pPr>
            <w:r>
              <w:rPr>
                <w:color w:val="102A43"/>
                <w:sz w:val="20"/>
                <w:szCs w:val="20"/>
                <w:b w:val="1"/>
                <w:bCs w:val="1"/>
              </w:rPr>
              <w:t xml:space="preserve">Mature</w:t>
            </w:r>
          </w:p>
        </w:tc>
        <w:tc>
          <w:tcPr>
            <w:tcW w:w="950" w:type="dxa"/>
            <w:vAlign w:val="center"/>
            <w:shd w:val="clear" w:fill="FFFFFF"/>
            <w:noWrap/>
          </w:tcPr>
          <w:p>
            <w:pPr>
              <w:jc w:val="center"/>
              <w:spacing w:after="0"/>
            </w:pPr>
            <w:r>
              <w:rPr>
                <w:color w:val="52627A"/>
                <w:sz w:val="22"/>
                <w:szCs w:val="22"/>
              </w:rPr>
              <w:t xml:space="preserve">0</w:t>
            </w:r>
          </w:p>
        </w:tc>
        <w:tc>
          <w:tcPr>
            <w:tcW w:w="950" w:type="dxa"/>
            <w:vAlign w:val="center"/>
            <w:shd w:val="clear" w:fill="FFFFFF"/>
            <w:noWrap/>
          </w:tcPr>
          <w:p>
            <w:pPr>
              <w:jc w:val="center"/>
              <w:spacing w:after="0"/>
            </w:pPr>
            <w:r>
              <w:rPr>
                <w:color w:val="9A4D15"/>
                <w:sz w:val="22"/>
                <w:szCs w:val="22"/>
              </w:rPr>
              <w:t xml:space="preserve">1</w:t>
            </w:r>
          </w:p>
        </w:tc>
        <w:tc>
          <w:tcPr>
            <w:tcW w:w="950" w:type="dxa"/>
            <w:vAlign w:val="center"/>
            <w:shd w:val="clear" w:fill="FFFFFF"/>
            <w:noWrap/>
          </w:tcPr>
          <w:p>
            <w:pPr>
              <w:jc w:val="center"/>
              <w:spacing w:after="0"/>
            </w:pPr>
            <w:r>
              <w:rPr>
                <w:color w:val="806013"/>
                <w:sz w:val="22"/>
                <w:szCs w:val="22"/>
              </w:rPr>
              <w:t xml:space="preserve">1</w:t>
            </w:r>
          </w:p>
        </w:tc>
        <w:tc>
          <w:tcPr>
            <w:tcW w:w="950" w:type="dxa"/>
            <w:vAlign w:val="center"/>
            <w:shd w:val="clear" w:fill="FFFFFF"/>
            <w:noWrap/>
          </w:tcPr>
          <w:p>
            <w:pPr>
              <w:jc w:val="center"/>
              <w:spacing w:after="0"/>
            </w:pPr>
            <w:r>
              <w:rPr>
                <w:color w:val="256451"/>
                <w:sz w:val="22"/>
                <w:szCs w:val="22"/>
              </w:rPr>
              <w:t xml:space="preserve">2</w:t>
            </w:r>
          </w:p>
        </w:tc>
      </w:tr>
      <w:tr>
        <w:trPr>
          <w:trHeight w:val="520" w:hRule="atLeast"/>
          <w:cantSplit w:val="1"/>
        </w:trPr>
        <w:tc>
          <w:tcPr>
            <w:tcW w:w="2700" w:type="dxa"/>
            <w:vAlign w:val="center"/>
            <w:shd w:val="clear" w:fill="F3F6F8"/>
            <w:noWrap/>
          </w:tcPr>
          <w:p>
            <w:pPr>
              <w:spacing w:after="0"/>
            </w:pPr>
            <w:r>
              <w:rPr>
                <w:sz w:val="22"/>
                <w:szCs w:val="22"/>
                <w:b w:val="1"/>
                <w:bCs w:val="1"/>
              </w:rPr>
              <w:t xml:space="preserve">Operational Excellence</w:t>
            </w:r>
          </w:p>
        </w:tc>
        <w:tc>
          <w:tcPr>
            <w:tcW w:w="800" w:type="dxa"/>
            <w:vAlign w:val="center"/>
            <w:shd w:val="clear" w:fill="E8F3ED"/>
            <w:noWrap/>
          </w:tcPr>
          <w:p>
            <w:pPr>
              <w:jc w:val="center"/>
              <w:spacing w:after="0"/>
            </w:pPr>
            <w:r>
              <w:rPr>
                <w:color w:val="256451"/>
                <w:sz w:val="22"/>
                <w:szCs w:val="22"/>
                <w:b w:val="1"/>
                <w:bCs w:val="1"/>
              </w:rPr>
              <w:t xml:space="preserve">82%</w:t>
            </w:r>
          </w:p>
        </w:tc>
        <w:tc>
          <w:tcPr>
            <w:tcW w:w="1700" w:type="dxa"/>
            <w:vAlign w:val="center"/>
            <w:shd w:val="clear" w:fill="F3F6F8"/>
            <w:noWrap/>
          </w:tcPr>
          <w:p>
            <w:pPr>
              <w:spacing w:after="0"/>
            </w:pPr>
            <w:r>
              <w:rPr>
                <w:color w:val="102A43"/>
                <w:sz w:val="20"/>
                <w:szCs w:val="20"/>
                <w:b w:val="1"/>
                <w:bCs w:val="1"/>
              </w:rPr>
              <w:t xml:space="preserve">Mature</w:t>
            </w:r>
          </w:p>
        </w:tc>
        <w:tc>
          <w:tcPr>
            <w:tcW w:w="950" w:type="dxa"/>
            <w:vAlign w:val="center"/>
            <w:shd w:val="clear" w:fill="F3F6F8"/>
            <w:noWrap/>
          </w:tcPr>
          <w:p>
            <w:pPr>
              <w:jc w:val="center"/>
              <w:spacing w:after="0"/>
            </w:pPr>
            <w:r>
              <w:rPr>
                <w:color w:val="52627A"/>
                <w:sz w:val="22"/>
                <w:szCs w:val="22"/>
              </w:rPr>
              <w:t xml:space="preserve">0</w:t>
            </w:r>
          </w:p>
        </w:tc>
        <w:tc>
          <w:tcPr>
            <w:tcW w:w="950" w:type="dxa"/>
            <w:vAlign w:val="center"/>
            <w:shd w:val="clear" w:fill="F3F6F8"/>
            <w:noWrap/>
          </w:tcPr>
          <w:p>
            <w:pPr>
              <w:jc w:val="center"/>
              <w:spacing w:after="0"/>
            </w:pPr>
            <w:r>
              <w:rPr>
                <w:color w:val="52627A"/>
                <w:sz w:val="22"/>
                <w:szCs w:val="22"/>
              </w:rPr>
              <w:t xml:space="preserve">0</w:t>
            </w:r>
          </w:p>
        </w:tc>
        <w:tc>
          <w:tcPr>
            <w:tcW w:w="950" w:type="dxa"/>
            <w:vAlign w:val="center"/>
            <w:shd w:val="clear" w:fill="F3F6F8"/>
            <w:noWrap/>
          </w:tcPr>
          <w:p>
            <w:pPr>
              <w:jc w:val="center"/>
              <w:spacing w:after="0"/>
            </w:pPr>
            <w:r>
              <w:rPr>
                <w:color w:val="806013"/>
                <w:sz w:val="22"/>
                <w:szCs w:val="22"/>
              </w:rPr>
              <w:t xml:space="preserve">3</w:t>
            </w:r>
          </w:p>
        </w:tc>
        <w:tc>
          <w:tcPr>
            <w:tcW w:w="950" w:type="dxa"/>
            <w:vAlign w:val="center"/>
            <w:shd w:val="clear" w:fill="F3F6F8"/>
            <w:noWrap/>
          </w:tcPr>
          <w:p>
            <w:pPr>
              <w:jc w:val="center"/>
              <w:spacing w:after="0"/>
            </w:pPr>
            <w:r>
              <w:rPr>
                <w:color w:val="256451"/>
                <w:sz w:val="22"/>
                <w:szCs w:val="22"/>
              </w:rPr>
              <w:t xml:space="preserve">2</w:t>
            </w:r>
          </w:p>
        </w:tc>
      </w:tr>
      <w:tr>
        <w:trPr>
          <w:trHeight w:val="520" w:hRule="atLeast"/>
          <w:cantSplit w:val="1"/>
        </w:trPr>
        <w:tc>
          <w:tcPr>
            <w:tcW w:w="2700" w:type="dxa"/>
            <w:vAlign w:val="center"/>
            <w:shd w:val="clear" w:fill="FFFFFF"/>
            <w:noWrap/>
          </w:tcPr>
          <w:p>
            <w:pPr>
              <w:spacing w:after="0"/>
            </w:pPr>
            <w:r>
              <w:rPr>
                <w:sz w:val="22"/>
                <w:szCs w:val="22"/>
                <w:b w:val="1"/>
                <w:bCs w:val="1"/>
              </w:rPr>
              <w:t xml:space="preserve">Performance Efficiency</w:t>
            </w:r>
          </w:p>
        </w:tc>
        <w:tc>
          <w:tcPr>
            <w:tcW w:w="800" w:type="dxa"/>
            <w:vAlign w:val="center"/>
            <w:shd w:val="clear" w:fill="E8F3ED"/>
            <w:noWrap/>
          </w:tcPr>
          <w:p>
            <w:pPr>
              <w:jc w:val="center"/>
              <w:spacing w:after="0"/>
            </w:pPr>
            <w:r>
              <w:rPr>
                <w:color w:val="256451"/>
                <w:sz w:val="22"/>
                <w:szCs w:val="22"/>
                <w:b w:val="1"/>
                <w:bCs w:val="1"/>
              </w:rPr>
              <w:t xml:space="preserve">76%</w:t>
            </w:r>
          </w:p>
        </w:tc>
        <w:tc>
          <w:tcPr>
            <w:tcW w:w="1700" w:type="dxa"/>
            <w:vAlign w:val="center"/>
            <w:shd w:val="clear" w:fill="FFFFFF"/>
            <w:noWrap/>
          </w:tcPr>
          <w:p>
            <w:pPr>
              <w:spacing w:after="0"/>
            </w:pPr>
            <w:r>
              <w:rPr>
                <w:color w:val="102A43"/>
                <w:sz w:val="20"/>
                <w:szCs w:val="20"/>
                <w:b w:val="1"/>
                <w:bCs w:val="1"/>
              </w:rPr>
              <w:t xml:space="preserve">Mature</w:t>
            </w:r>
          </w:p>
        </w:tc>
        <w:tc>
          <w:tcPr>
            <w:tcW w:w="950" w:type="dxa"/>
            <w:vAlign w:val="center"/>
            <w:shd w:val="clear" w:fill="FFFFFF"/>
            <w:noWrap/>
          </w:tcPr>
          <w:p>
            <w:pPr>
              <w:jc w:val="center"/>
              <w:spacing w:after="0"/>
            </w:pPr>
            <w:r>
              <w:rPr>
                <w:color w:val="52627A"/>
                <w:sz w:val="22"/>
                <w:szCs w:val="22"/>
              </w:rPr>
              <w:t xml:space="preserve">0</w:t>
            </w:r>
          </w:p>
        </w:tc>
        <w:tc>
          <w:tcPr>
            <w:tcW w:w="950" w:type="dxa"/>
            <w:vAlign w:val="center"/>
            <w:shd w:val="clear" w:fill="FFFFFF"/>
            <w:noWrap/>
          </w:tcPr>
          <w:p>
            <w:pPr>
              <w:jc w:val="center"/>
              <w:spacing w:after="0"/>
            </w:pPr>
            <w:r>
              <w:rPr>
                <w:color w:val="9A4D15"/>
                <w:sz w:val="22"/>
                <w:szCs w:val="22"/>
              </w:rPr>
              <w:t xml:space="preserve">1</w:t>
            </w:r>
          </w:p>
        </w:tc>
        <w:tc>
          <w:tcPr>
            <w:tcW w:w="950" w:type="dxa"/>
            <w:vAlign w:val="center"/>
            <w:shd w:val="clear" w:fill="FFFFFF"/>
            <w:noWrap/>
          </w:tcPr>
          <w:p>
            <w:pPr>
              <w:jc w:val="center"/>
              <w:spacing w:after="0"/>
            </w:pPr>
            <w:r>
              <w:rPr>
                <w:color w:val="806013"/>
                <w:sz w:val="22"/>
                <w:szCs w:val="22"/>
              </w:rPr>
              <w:t xml:space="preserve">2</w:t>
            </w:r>
          </w:p>
        </w:tc>
        <w:tc>
          <w:tcPr>
            <w:tcW w:w="950" w:type="dxa"/>
            <w:vAlign w:val="center"/>
            <w:shd w:val="clear" w:fill="FFFFFF"/>
            <w:noWrap/>
          </w:tcPr>
          <w:p>
            <w:pPr>
              <w:jc w:val="center"/>
              <w:spacing w:after="0"/>
            </w:pPr>
            <w:r>
              <w:rPr>
                <w:color w:val="256451"/>
                <w:sz w:val="22"/>
                <w:szCs w:val="22"/>
              </w:rPr>
              <w:t xml:space="preserve">2</w:t>
            </w:r>
          </w:p>
        </w:tc>
      </w:tr>
    </w:tbl>
    <w:p>
      <w:pPr>
        <w:spacing w:after="80"/>
      </w:pPr>
      <w:r>
        <w:rPr/>
        <w:t xml:space="preserve"/>
      </w:r>
    </w:p>
    <w:p>
      <w:pPr>
        <w:pStyle w:val="Heading3"/>
      </w:pPr>
      <w:bookmarkStart w:id="3" w:name="_Toc3"/>
      <w:r>
        <w:t>Key Strengths</w:t>
      </w:r>
      <w:bookmarkEnd w:id="3"/>
    </w:p>
    <w:p>
      <w:pPr>
        <w:spacing w:after="60"/>
        <w:numPr>
          <w:ilvl w:val="0"/>
          <w:numId w:val="7"/>
        </w:numPr>
      </w:pPr>
      <w:r>
        <w:rPr>
          <w:sz w:val="22"/>
          <w:szCs w:val="22"/>
        </w:rPr>
        <w:t xml:space="preserve">Reliability domain demonstrates strong alignment with best practices (score: 72%, 23/32 checks passed)</w:t>
      </w:r>
    </w:p>
    <w:p>
      <w:pPr>
        <w:spacing w:after="60"/>
        <w:numPr>
          <w:ilvl w:val="0"/>
          <w:numId w:val="7"/>
        </w:numPr>
      </w:pPr>
      <w:r>
        <w:rPr>
          <w:sz w:val="22"/>
          <w:szCs w:val="22"/>
        </w:rPr>
        <w:t xml:space="preserve">Cost Optimization domain demonstrates strong alignment with best practices (score: 81%, 17/21 checks passed)</w:t>
      </w:r>
    </w:p>
    <w:p>
      <w:pPr>
        <w:spacing w:after="60"/>
        <w:numPr>
          <w:ilvl w:val="0"/>
          <w:numId w:val="7"/>
        </w:numPr>
      </w:pPr>
      <w:r>
        <w:rPr>
          <w:sz w:val="22"/>
          <w:szCs w:val="22"/>
        </w:rPr>
        <w:t xml:space="preserve">Operational Excellence domain demonstrates strong alignment with best practices (score: 82%, 28/34 checks passed)</w:t>
      </w:r>
    </w:p>
    <w:p>
      <w:pPr>
        <w:spacing w:after="60"/>
        <w:numPr>
          <w:ilvl w:val="0"/>
          <w:numId w:val="7"/>
        </w:numPr>
      </w:pPr>
      <w:r>
        <w:rPr>
          <w:sz w:val="22"/>
          <w:szCs w:val="22"/>
        </w:rPr>
        <w:t xml:space="preserve">Performance Efficiency domain demonstrates strong alignment with best practices (score: 76%, 19/25 checks passed)</w:t>
      </w:r>
    </w:p>
    <w:p>
      <w:pPr>
        <w:spacing w:after="80"/>
      </w:pPr>
      <w:r>
        <w:rPr/>
        <w:t xml:space="preserve"/>
      </w:r>
    </w:p>
    <w:p>
      <w:pPr>
        <w:pStyle w:val="Heading3"/>
      </w:pPr>
      <w:bookmarkStart w:id="4" w:name="_Toc4"/>
      <w:r>
        <w:t>Key Weaknesses</w:t>
      </w:r>
      <w:bookmarkEnd w:id="4"/>
    </w:p>
    <w:p>
      <w:pPr>
        <w:spacing w:after="60"/>
        <w:numPr>
          <w:ilvl w:val="0"/>
          <w:numId w:val="7"/>
        </w:numPr>
      </w:pPr>
      <w:r>
        <w:rPr>
          <w:sz w:val="22"/>
          <w:szCs w:val="22"/>
        </w:rPr>
        <w:t xml:space="preserve">High severity: Storage accounts allow public blob access affects 3 resources across 1 subscription in Microsoft.storage/storage Accounts (Security).</w:t>
      </w:r>
    </w:p>
    <w:p>
      <w:pPr>
        <w:spacing w:after="60"/>
        <w:numPr>
          <w:ilvl w:val="0"/>
          <w:numId w:val="7"/>
        </w:numPr>
      </w:pPr>
      <w:r>
        <w:rPr>
          <w:sz w:val="22"/>
          <w:szCs w:val="22"/>
        </w:rPr>
        <w:t xml:space="preserve">High severity: Defender for Cloud not enabled for key vault workloads affects 2 resources across 1 subscription in Microsoft.key Vault/vaults (Security).</w:t>
      </w:r>
    </w:p>
    <w:p>
      <w:pPr>
        <w:spacing w:after="60"/>
        <w:numPr>
          <w:ilvl w:val="0"/>
          <w:numId w:val="7"/>
        </w:numPr>
      </w:pPr>
      <w:r>
        <w:rPr>
          <w:sz w:val="22"/>
          <w:szCs w:val="22"/>
        </w:rPr>
        <w:t xml:space="preserve">High severity: Policy inheritance missing at management group scope affects 2 resources across 1 subscription in Microsoft.authorization/policy Assignments (Operational Excellence).</w:t>
      </w:r>
    </w:p>
    <w:p>
      <w:pPr>
        <w:spacing w:after="60"/>
        <w:numPr>
          <w:ilvl w:val="0"/>
          <w:numId w:val="7"/>
        </w:numPr>
      </w:pPr>
      <w:r>
        <w:rPr>
          <w:sz w:val="22"/>
          <w:szCs w:val="22"/>
        </w:rPr>
        <w:t xml:space="preserve">Medium severity: Network Security Groups missing flow log configuration affects 4 resources across 1 subscription in Microsoft.network/network Security Groups (Operational Excellence).</w:t>
      </w:r>
    </w:p>
    <w:p>
      <w:pPr>
        <w:spacing w:after="60"/>
        <w:numPr>
          <w:ilvl w:val="0"/>
          <w:numId w:val="7"/>
        </w:numPr>
      </w:pPr>
      <w:r>
        <w:rPr>
          <w:sz w:val="22"/>
          <w:szCs w:val="22"/>
        </w:rPr>
        <w:t xml:space="preserve">Medium severity: Virtual machines not protected by Azure Backup affects 3 resources across 1 subscription in Microsoft.compute/virtual Machines (Reliability).</w:t>
      </w:r>
    </w:p>
    <w:p>
      <w:pPr>
        <w:spacing w:after="80"/>
      </w:pPr>
      <w:r>
        <w:rPr/>
        <w:t xml:space="preserve"/>
      </w:r>
    </w:p>
    <w:p>
      <w:pPr>
        <w:pStyle w:val="Heading3"/>
      </w:pPr>
      <w:bookmarkStart w:id="5" w:name="_Toc5"/>
      <w:r>
        <w:t>Priority Concerns and Risks</w:t>
      </w:r>
      <w:bookmarkEnd w:id="5"/>
    </w:p>
    <w:p>
      <w:pPr>
        <w:spacing w:after="160"/>
      </w:pPr>
      <w:r>
        <w:rPr>
          <w:sz w:val="22"/>
          <w:szCs w:val="22"/>
        </w:rPr>
        <w:t xml:space="preserve">The reviewed Azure estate contains 3 critical or high severity findings concentrated across Security, Operational Excellence, Reliability. The highest-priority themes affect 14 resources in the grouped evidence and should be treated as estate-level control gaps rather than isolated configuration items.</w:t>
      </w:r>
    </w:p>
    <w:p>
      <w:pPr>
        <w:pStyle w:val="Heading4"/>
      </w:pPr>
      <w:bookmarkStart w:id="6" w:name="_Toc6"/>
      <w:r>
        <w:t>Findings by Severity</w:t>
      </w:r>
      <w:bookmarkEnd w:id="6"/>
    </w:p>
    <w:tbl>
      <w:tblGrid>
        <w:gridCol w:w="3000" w:type="dxa"/>
        <w:gridCol w:w="1500" w:type="dxa"/>
        <w:gridCol w:w="45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3000" w:type="dxa"/>
            <w:vAlign w:val="center"/>
            <w:shd w:val="clear" w:fill="102A43"/>
            <w:noWrap/>
          </w:tcPr>
          <w:p>
            <w:pPr>
              <w:spacing w:after="0"/>
            </w:pPr>
            <w:r>
              <w:rPr>
                <w:rFonts w:ascii="Calibri" w:hAnsi="Calibri" w:eastAsia="Calibri" w:cs="Calibri"/>
                <w:color w:val="FFFFFF"/>
                <w:sz w:val="18"/>
                <w:szCs w:val="18"/>
                <w:b w:val="1"/>
                <w:bCs w:val="1"/>
              </w:rPr>
              <w:t xml:space="preserve">Severity</w:t>
            </w:r>
          </w:p>
        </w:tc>
        <w:tc>
          <w:tcPr>
            <w:tcW w:w="1500" w:type="dxa"/>
            <w:vAlign w:val="center"/>
            <w:shd w:val="clear" w:fill="102A43"/>
            <w:noWrap/>
          </w:tcPr>
          <w:p>
            <w:pPr>
              <w:spacing w:after="0"/>
            </w:pPr>
            <w:r>
              <w:rPr>
                <w:rFonts w:ascii="Calibri" w:hAnsi="Calibri" w:eastAsia="Calibri" w:cs="Calibri"/>
                <w:color w:val="FFFFFF"/>
                <w:sz w:val="18"/>
                <w:szCs w:val="18"/>
                <w:b w:val="1"/>
                <w:bCs w:val="1"/>
              </w:rPr>
              <w:t xml:space="preserve">Count</w:t>
            </w:r>
          </w:p>
        </w:tc>
        <w:tc>
          <w:tcPr>
            <w:tcW w:w="4500" w:type="dxa"/>
            <w:vAlign w:val="center"/>
            <w:shd w:val="clear" w:fill="102A43"/>
            <w:noWrap/>
          </w:tcPr>
          <w:p>
            <w:pPr>
              <w:spacing w:after="0"/>
            </w:pPr>
            <w:r>
              <w:rPr>
                <w:rFonts w:ascii="Calibri" w:hAnsi="Calibri" w:eastAsia="Calibri" w:cs="Calibri"/>
                <w:color w:val="FFFFFF"/>
                <w:sz w:val="18"/>
                <w:szCs w:val="18"/>
                <w:b w:val="1"/>
                <w:bCs w:val="1"/>
              </w:rPr>
              <w:t xml:space="preserve">Recommended Priority</w:t>
            </w:r>
          </w:p>
        </w:tc>
      </w:tr>
      <w:tr>
        <w:trPr>
          <w:trHeight w:val="360" w:hRule="atLeast"/>
        </w:trPr>
        <w:tc>
          <w:tcPr>
            <w:tcW w:w="3000" w:type="dxa"/>
            <w:vAlign w:val="center"/>
            <w:shd w:val="clear" w:fill="A42638"/>
            <w:noWrap/>
          </w:tcPr>
          <w:p>
            <w:pPr>
              <w:spacing w:after="0"/>
            </w:pPr>
            <w:r>
              <w:rPr>
                <w:color w:val="FFFFFF"/>
                <w:sz w:val="22"/>
                <w:szCs w:val="22"/>
                <w:b w:val="1"/>
                <w:bCs w:val="1"/>
              </w:rPr>
              <w:t xml:space="preserve">Critical</w:t>
            </w:r>
          </w:p>
        </w:tc>
        <w:tc>
          <w:tcPr>
            <w:tcW w:w="1500" w:type="dxa"/>
            <w:vAlign w:val="center"/>
            <w:noWrap/>
          </w:tcPr>
          <w:p>
            <w:pPr>
              <w:spacing w:after="0"/>
            </w:pPr>
            <w:r>
              <w:rPr>
                <w:sz w:val="22"/>
                <w:szCs w:val="22"/>
              </w:rPr>
              <w:t xml:space="preserve">0</w:t>
            </w:r>
          </w:p>
        </w:tc>
        <w:tc>
          <w:tcPr>
            <w:tcW w:w="4500" w:type="dxa"/>
            <w:vAlign w:val="center"/>
            <w:noWrap/>
          </w:tcPr>
          <w:p>
            <w:pPr>
              <w:spacing w:after="0"/>
            </w:pPr>
            <w:r>
              <w:rPr>
                <w:sz w:val="22"/>
                <w:szCs w:val="22"/>
              </w:rPr>
              <w:t xml:space="preserve">P1 – Immediate</w:t>
            </w:r>
          </w:p>
        </w:tc>
      </w:tr>
      <w:tr>
        <w:trPr>
          <w:trHeight w:val="360" w:hRule="atLeast"/>
        </w:trPr>
        <w:tc>
          <w:tcPr>
            <w:tcW w:w="3000" w:type="dxa"/>
            <w:vAlign w:val="center"/>
            <w:shd w:val="clear" w:fill="9A4D15"/>
            <w:noWrap/>
          </w:tcPr>
          <w:p>
            <w:pPr>
              <w:spacing w:after="0"/>
            </w:pPr>
            <w:r>
              <w:rPr>
                <w:color w:val="FFFFFF"/>
                <w:sz w:val="22"/>
                <w:szCs w:val="22"/>
                <w:b w:val="1"/>
                <w:bCs w:val="1"/>
              </w:rPr>
              <w:t xml:space="preserve">High</w:t>
            </w:r>
          </w:p>
        </w:tc>
        <w:tc>
          <w:tcPr>
            <w:tcW w:w="1500" w:type="dxa"/>
            <w:vAlign w:val="center"/>
            <w:noWrap/>
          </w:tcPr>
          <w:p>
            <w:pPr>
              <w:spacing w:after="0"/>
            </w:pPr>
            <w:r>
              <w:rPr>
                <w:sz w:val="22"/>
                <w:szCs w:val="22"/>
              </w:rPr>
              <w:t xml:space="preserve">3</w:t>
            </w:r>
          </w:p>
        </w:tc>
        <w:tc>
          <w:tcPr>
            <w:tcW w:w="4500" w:type="dxa"/>
            <w:vAlign w:val="center"/>
            <w:noWrap/>
          </w:tcPr>
          <w:p>
            <w:pPr>
              <w:spacing w:after="0"/>
            </w:pPr>
            <w:r>
              <w:rPr>
                <w:sz w:val="22"/>
                <w:szCs w:val="22"/>
              </w:rPr>
              <w:t xml:space="preserve">P2 – High Priority</w:t>
            </w:r>
          </w:p>
        </w:tc>
      </w:tr>
      <w:tr>
        <w:trPr>
          <w:trHeight w:val="360" w:hRule="atLeast"/>
        </w:trPr>
        <w:tc>
          <w:tcPr>
            <w:tcW w:w="3000" w:type="dxa"/>
            <w:vAlign w:val="center"/>
            <w:shd w:val="clear" w:fill="FBF3DC"/>
            <w:noWrap/>
          </w:tcPr>
          <w:p>
            <w:pPr>
              <w:spacing w:after="0"/>
            </w:pPr>
            <w:r>
              <w:rPr>
                <w:color w:val="806013"/>
                <w:sz w:val="22"/>
                <w:szCs w:val="22"/>
                <w:b w:val="1"/>
                <w:bCs w:val="1"/>
              </w:rPr>
              <w:t xml:space="preserve">Medium</w:t>
            </w:r>
          </w:p>
        </w:tc>
        <w:tc>
          <w:tcPr>
            <w:tcW w:w="1500" w:type="dxa"/>
            <w:vAlign w:val="center"/>
            <w:noWrap/>
          </w:tcPr>
          <w:p>
            <w:pPr>
              <w:spacing w:after="0"/>
            </w:pPr>
            <w:r>
              <w:rPr>
                <w:sz w:val="22"/>
                <w:szCs w:val="22"/>
              </w:rPr>
              <w:t xml:space="preserve">2</w:t>
            </w:r>
          </w:p>
        </w:tc>
        <w:tc>
          <w:tcPr>
            <w:tcW w:w="4500" w:type="dxa"/>
            <w:vAlign w:val="center"/>
            <w:noWrap/>
          </w:tcPr>
          <w:p>
            <w:pPr>
              <w:spacing w:after="0"/>
            </w:pPr>
            <w:r>
              <w:rPr>
                <w:sz w:val="22"/>
                <w:szCs w:val="22"/>
              </w:rPr>
              <w:t xml:space="preserve">P3 – Medium Priority</w:t>
            </w:r>
          </w:p>
        </w:tc>
      </w:tr>
      <w:tr>
        <w:trPr>
          <w:trHeight w:val="360" w:hRule="atLeast"/>
        </w:trPr>
        <w:tc>
          <w:tcPr>
            <w:tcW w:w="3000" w:type="dxa"/>
            <w:vAlign w:val="center"/>
            <w:shd w:val="clear" w:fill="E8F3ED"/>
            <w:noWrap/>
          </w:tcPr>
          <w:p>
            <w:pPr>
              <w:spacing w:after="0"/>
            </w:pPr>
            <w:r>
              <w:rPr>
                <w:color w:val="256451"/>
                <w:sz w:val="22"/>
                <w:szCs w:val="22"/>
                <w:b w:val="1"/>
                <w:bCs w:val="1"/>
              </w:rPr>
              <w:t xml:space="preserve">Low</w:t>
            </w:r>
          </w:p>
        </w:tc>
        <w:tc>
          <w:tcPr>
            <w:tcW w:w="1500" w:type="dxa"/>
            <w:vAlign w:val="center"/>
            <w:noWrap/>
          </w:tcPr>
          <w:p>
            <w:pPr>
              <w:spacing w:after="0"/>
            </w:pPr>
            <w:r>
              <w:rPr>
                <w:sz w:val="22"/>
                <w:szCs w:val="22"/>
              </w:rPr>
              <w:t xml:space="preserve">0</w:t>
            </w:r>
          </w:p>
        </w:tc>
        <w:tc>
          <w:tcPr>
            <w:tcW w:w="4500" w:type="dxa"/>
            <w:vAlign w:val="center"/>
            <w:noWrap/>
          </w:tcPr>
          <w:p>
            <w:pPr>
              <w:spacing w:after="0"/>
            </w:pPr>
            <w:r>
              <w:rPr>
                <w:sz w:val="22"/>
                <w:szCs w:val="22"/>
              </w:rPr>
              <w:t xml:space="preserve">P4 – Low Priority</w:t>
            </w:r>
          </w:p>
        </w:tc>
      </w:tr>
    </w:tbl>
    <w:p>
      <w:pPr>
        <w:spacing w:after="80"/>
      </w:pPr>
      <w:r>
        <w:rPr/>
        <w:t xml:space="preserve"/>
      </w:r>
    </w:p>
    <w:p>
      <w:pPr>
        <w:pStyle w:val="Heading3"/>
      </w:pPr>
      <w:bookmarkStart w:id="7" w:name="_Toc7"/>
      <w:r>
        <w:t>Findings by Domain</w:t>
      </w:r>
      <w:bookmarkEnd w:id="7"/>
    </w:p>
    <w:p>
      <w:pPr>
        <w:spacing w:after="100"/>
      </w:pPr>
      <w:r>
        <w:rPr>
          <w:color w:val="52627A"/>
          <w:sz w:val="22"/>
          <w:szCs w:val="22"/>
        </w:rPr>
        <w:t xml:space="preserve">The domain profile shows where the largest concentration of findings sits. Domains with the highest finding volume are likely to deserve the most attention first.</w:t>
      </w:r>
    </w:p>
    <w:p>
      <w:r>
        <w:drawing>
          <wp:inline>
            <wp:extent cx="5000000" cy="2600000"/>
            <wp:docPr id="17" name="Chart17"/>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after="80"/>
      </w:pPr>
      <w:r>
        <w:rPr/>
        <w:t xml:space="preserve"/>
      </w:r>
    </w:p>
    <w:p>
      <w:pPr>
        <w:pStyle w:val="Heading3"/>
      </w:pPr>
      <w:bookmarkStart w:id="8" w:name="_Toc8"/>
      <w:r>
        <w:t>Strategic Recommendations</w:t>
      </w:r>
      <w:bookmarkEnd w:id="8"/>
    </w:p>
    <w:p>
      <w:pPr>
        <w:spacing w:after="60"/>
        <w:numPr>
          <w:ilvl w:val="0"/>
          <w:numId w:val="7"/>
        </w:numPr>
      </w:pPr>
      <w:r>
        <w:rPr>
          <w:sz w:val="22"/>
          <w:szCs w:val="22"/>
        </w:rPr>
        <w:t xml:space="preserve">Set AllowBlobPublicAccess to false on all storage accounts that do not explicitly require public access.</w:t>
      </w:r>
    </w:p>
    <w:p>
      <w:pPr>
        <w:spacing w:after="60"/>
        <w:numPr>
          <w:ilvl w:val="0"/>
          <w:numId w:val="7"/>
        </w:numPr>
      </w:pPr>
      <w:r>
        <w:rPr>
          <w:sz w:val="22"/>
          <w:szCs w:val="22"/>
        </w:rPr>
        <w:t xml:space="preserve">Enable Defender for Cloud plans for servers, storage, and key vaults at a minimum.</w:t>
      </w:r>
    </w:p>
    <w:p>
      <w:pPr>
        <w:spacing w:after="60"/>
        <w:numPr>
          <w:ilvl w:val="0"/>
          <w:numId w:val="7"/>
        </w:numPr>
      </w:pPr>
      <w:r>
        <w:rPr>
          <w:sz w:val="22"/>
          <w:szCs w:val="22"/>
        </w:rPr>
        <w:t xml:space="preserve">Assign Azure Policy initiatives at the management group scope to ensure consistent inheritance across all child subscriptions.</w:t>
      </w:r>
    </w:p>
    <w:p>
      <w:pPr>
        <w:spacing w:after="60"/>
        <w:numPr>
          <w:ilvl w:val="0"/>
          <w:numId w:val="7"/>
        </w:numPr>
      </w:pPr>
      <w:r>
        <w:rPr>
          <w:sz w:val="22"/>
          <w:szCs w:val="22"/>
        </w:rPr>
        <w:t xml:space="preserve">Enable NSG flow logs and configure retention in a storage account or Log Analytics workspace.</w:t>
      </w:r>
    </w:p>
    <w:p>
      <w:pPr>
        <w:spacing w:after="60"/>
        <w:numPr>
          <w:ilvl w:val="0"/>
          <w:numId w:val="7"/>
        </w:numPr>
      </w:pPr>
      <w:r>
        <w:rPr>
          <w:sz w:val="22"/>
          <w:szCs w:val="22"/>
        </w:rPr>
        <w:t xml:space="preserve">Configure Azure Backup for all production virtual machines. Define a recovery point objective aligned to business requirements.</w:t>
      </w:r>
    </w:p>
    <w:p>
      <w:pPr>
        <w:spacing w:after="80"/>
      </w:pPr>
      <w:r>
        <w:rPr/>
        <w:t xml:space="preserve"/>
      </w:r>
    </w:p>
    <w:p>
      <w:pPr>
        <w:pStyle w:val="Heading3"/>
      </w:pPr>
      <w:bookmarkStart w:id="9" w:name="_Toc9"/>
      <w:r>
        <w:t>How To Read The Rest Of This Report</w:t>
      </w:r>
      <w:bookmarkEnd w:id="9"/>
    </w:p>
    <w:p>
      <w:pPr>
        <w:spacing w:after="200"/>
      </w:pPr>
      <w:r>
        <w:rPr>
          <w:sz w:val="22"/>
          <w:szCs w:val="22"/>
        </w:rPr>
        <w:t xml:space="preserve">The remainder of this report is organised to make the findings easier to follow. Each domain section starts with the current posture, then highlights the main observations from the reviewed evidence, and finally sets out the recommended next steps. The remediation roadmap later in the report brings those recommendations together into a practical priority order.</w:t>
      </w:r>
    </w:p>
    <w:p>
      <w:pPr>
        <w:pStyle w:val="Heading3"/>
      </w:pPr>
      <w:bookmarkStart w:id="10" w:name="_Toc10"/>
      <w:r>
        <w:t>Scope Overview</w:t>
      </w:r>
      <w:bookmarkEnd w:id="10"/>
    </w:p>
    <w:tbl>
      <w:tblGrid>
        <w:gridCol w:w="90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rPr>
        <w:tc>
          <w:tcPr>
            <w:tcW w:w="9000" w:type="dxa"/>
            <w:vAlign w:val="center"/>
            <w:noWrap/>
          </w:tcPr>
          <w:p>
            <w:pPr>
              <w:spacing w:after="0"/>
            </w:pPr>
            <w:r>
              <w:rPr>
                <w:sz w:val="22"/>
                <w:szCs w:val="22"/>
              </w:rPr>
              <w:t xml:space="preserve">Contoso-Prod-001 (sub-0001-aaaa-bbbb-cccc)</w:t>
            </w:r>
          </w:p>
        </w:tc>
      </w:tr>
      <w:tr>
        <w:trPr>
          <w:trHeight w:val="360" w:hRule="atLeast"/>
        </w:trPr>
        <w:tc>
          <w:tcPr>
            <w:tcW w:w="9000" w:type="dxa"/>
            <w:vAlign w:val="center"/>
            <w:noWrap/>
          </w:tcPr>
          <w:p>
            <w:pPr>
              <w:spacing w:after="0"/>
            </w:pPr>
            <w:r>
              <w:rPr>
                <w:sz w:val="22"/>
                <w:szCs w:val="22"/>
              </w:rPr>
              <w:t xml:space="preserve">Contoso-Connectivity (sub-0002-dddd-eeee-ffff)</w:t>
            </w:r>
          </w:p>
        </w:tc>
      </w:tr>
      <w:tr>
        <w:trPr>
          <w:trHeight w:val="360" w:hRule="atLeast"/>
        </w:trPr>
        <w:tc>
          <w:tcPr>
            <w:tcW w:w="9000" w:type="dxa"/>
            <w:vAlign w:val="center"/>
            <w:noWrap/>
          </w:tcPr>
          <w:p>
            <w:pPr>
              <w:spacing w:after="0"/>
            </w:pPr>
            <w:r>
              <w:rPr>
                <w:sz w:val="22"/>
                <w:szCs w:val="22"/>
              </w:rPr>
              <w:t xml:space="preserve">Contoso-Management (sub-0003-1111-2222-3333)</w:t>
            </w:r>
          </w:p>
        </w:tc>
      </w:tr>
    </w:tbl>
    <w:p>
      <w:pPr>
        <w:spacing w:after="160"/>
      </w:pPr>
      <w:r>
        <w:rPr/>
        <w:t xml:space="preserve"/>
      </w:r>
    </w:p>
    <w:p>
      <w:pPr>
        <w:pStyle w:val="Heading1"/>
      </w:pPr>
      <w:bookmarkStart w:id="11" w:name="_Toc11"/>
      <w:r>
        <w:t>Progress</w:t>
      </w:r>
      <w:bookmarkEnd w:id="11"/>
    </w:p>
    <w:p>
      <w:pPr>
        <w:keepNext w:val="1"/>
        <w:spacing w:before="0" w:after="90"/>
        <w:pBdr>
          <w:bottom w:val="single" w:sz="8" w:color="007F95"/>
        </w:pBdr>
      </w:pPr>
      <w:r>
        <w:rPr>
          <w:sz w:val="8"/>
          <w:szCs w:val="8"/>
        </w:rPr>
        <w:t xml:space="preserve"/>
      </w:r>
    </w:p>
    <w:p>
      <w:pPr/>
      <w:r>
        <w:rPr>
          <w:color w:val="102A43"/>
          <w:sz w:val="20"/>
          <w:szCs w:val="20"/>
        </w:rPr>
        <w:t xml:space="preserve">This review establishes the project baseline. Future tracked reviews will measure verified changes against this evidence.</w:t>
      </w:r>
    </w:p>
    <w:p>
      <w:pPr>
        <w:pStyle w:val="Heading1"/>
      </w:pPr>
      <w:bookmarkStart w:id="12" w:name="_Toc12"/>
      <w:r>
        <w:t>Azure Estate Overview</w:t>
      </w:r>
      <w:bookmarkEnd w:id="12"/>
    </w:p>
    <w:p>
      <w:pPr>
        <w:keepNext w:val="1"/>
        <w:spacing w:before="0" w:after="90"/>
        <w:pBdr>
          <w:bottom w:val="single" w:sz="8" w:color="007F95"/>
        </w:pBdr>
      </w:pPr>
      <w:r>
        <w:rPr>
          <w:sz w:val="8"/>
          <w:szCs w:val="8"/>
        </w:rPr>
        <w:t xml:space="preserve"/>
      </w:r>
    </w:p>
    <w:tbl>
      <w:tblGrid>
        <w:gridCol w:w="4500" w:type="dxa"/>
        <w:gridCol w:w="45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4500" w:type="dxa"/>
            <w:vAlign w:val="center"/>
            <w:shd w:val="clear" w:fill="102A43"/>
            <w:noWrap/>
          </w:tcPr>
          <w:p>
            <w:pPr>
              <w:spacing w:after="0"/>
            </w:pPr>
            <w:r>
              <w:rPr>
                <w:rFonts w:ascii="Calibri" w:hAnsi="Calibri" w:eastAsia="Calibri" w:cs="Calibri"/>
                <w:color w:val="FFFFFF"/>
                <w:sz w:val="18"/>
                <w:szCs w:val="18"/>
                <w:b w:val="1"/>
                <w:bCs w:val="1"/>
              </w:rPr>
              <w:t xml:space="preserve">Metric</w:t>
            </w:r>
          </w:p>
        </w:tc>
        <w:tc>
          <w:tcPr>
            <w:tcW w:w="4500" w:type="dxa"/>
            <w:vAlign w:val="center"/>
            <w:shd w:val="clear" w:fill="102A43"/>
            <w:noWrap/>
          </w:tcPr>
          <w:p>
            <w:pPr>
              <w:spacing w:after="0"/>
            </w:pPr>
            <w:r>
              <w:rPr>
                <w:rFonts w:ascii="Calibri" w:hAnsi="Calibri" w:eastAsia="Calibri" w:cs="Calibri"/>
                <w:color w:val="FFFFFF"/>
                <w:sz w:val="18"/>
                <w:szCs w:val="18"/>
                <w:b w:val="1"/>
                <w:bCs w:val="1"/>
              </w:rPr>
              <w:t xml:space="preserve">Value</w:t>
            </w:r>
          </w:p>
        </w:tc>
      </w:tr>
      <w:tr>
        <w:trPr>
          <w:trHeight w:val="360" w:hRule="atLeast"/>
        </w:trPr>
        <w:tc>
          <w:tcPr>
            <w:tcW w:w="4500" w:type="dxa"/>
            <w:vAlign w:val="center"/>
            <w:shd w:val="clear" w:fill="F3F6F8"/>
            <w:noWrap/>
          </w:tcPr>
          <w:p>
            <w:pPr>
              <w:spacing w:after="0"/>
            </w:pPr>
            <w:r>
              <w:rPr>
                <w:sz w:val="22"/>
                <w:szCs w:val="22"/>
                <w:b w:val="1"/>
                <w:bCs w:val="1"/>
              </w:rPr>
              <w:t xml:space="preserve">Total Findings Identified</w:t>
            </w:r>
          </w:p>
        </w:tc>
        <w:tc>
          <w:tcPr>
            <w:tcW w:w="4500" w:type="dxa"/>
            <w:vAlign w:val="center"/>
            <w:noWrap/>
          </w:tcPr>
          <w:p>
            <w:pPr>
              <w:spacing w:after="0"/>
            </w:pPr>
            <w:r>
              <w:rPr>
                <w:sz w:val="22"/>
                <w:szCs w:val="22"/>
              </w:rPr>
              <w:t xml:space="preserve">5</w:t>
            </w:r>
          </w:p>
        </w:tc>
      </w:tr>
      <w:tr>
        <w:trPr>
          <w:trHeight w:val="360" w:hRule="atLeast"/>
        </w:trPr>
        <w:tc>
          <w:tcPr>
            <w:tcW w:w="4500" w:type="dxa"/>
            <w:vAlign w:val="center"/>
            <w:shd w:val="clear" w:fill="F3F6F8"/>
            <w:noWrap/>
          </w:tcPr>
          <w:p>
            <w:pPr>
              <w:spacing w:after="0"/>
            </w:pPr>
            <w:r>
              <w:rPr>
                <w:sz w:val="22"/>
                <w:szCs w:val="22"/>
                <w:b w:val="1"/>
                <w:bCs w:val="1"/>
              </w:rPr>
              <w:t xml:space="preserve">Critical Findings</w:t>
            </w:r>
          </w:p>
        </w:tc>
        <w:tc>
          <w:tcPr>
            <w:tcW w:w="4500" w:type="dxa"/>
            <w:vAlign w:val="center"/>
            <w:noWrap/>
          </w:tcPr>
          <w:p>
            <w:pPr>
              <w:spacing w:after="0"/>
            </w:pPr>
            <w:r>
              <w:rPr>
                <w:sz w:val="22"/>
                <w:szCs w:val="22"/>
              </w:rPr>
              <w:t xml:space="preserve">0</w:t>
            </w:r>
          </w:p>
        </w:tc>
      </w:tr>
      <w:tr>
        <w:trPr>
          <w:trHeight w:val="360" w:hRule="atLeast"/>
        </w:trPr>
        <w:tc>
          <w:tcPr>
            <w:tcW w:w="4500" w:type="dxa"/>
            <w:vAlign w:val="center"/>
            <w:shd w:val="clear" w:fill="F3F6F8"/>
            <w:noWrap/>
          </w:tcPr>
          <w:p>
            <w:pPr>
              <w:spacing w:after="0"/>
            </w:pPr>
            <w:r>
              <w:rPr>
                <w:sz w:val="22"/>
                <w:szCs w:val="22"/>
                <w:b w:val="1"/>
                <w:bCs w:val="1"/>
              </w:rPr>
              <w:t xml:space="preserve">High Severity Findings</w:t>
            </w:r>
          </w:p>
        </w:tc>
        <w:tc>
          <w:tcPr>
            <w:tcW w:w="4500" w:type="dxa"/>
            <w:vAlign w:val="center"/>
            <w:noWrap/>
          </w:tcPr>
          <w:p>
            <w:pPr>
              <w:spacing w:after="0"/>
            </w:pPr>
            <w:r>
              <w:rPr>
                <w:sz w:val="22"/>
                <w:szCs w:val="22"/>
              </w:rPr>
              <w:t xml:space="preserve">3</w:t>
            </w:r>
          </w:p>
        </w:tc>
      </w:tr>
      <w:tr>
        <w:trPr>
          <w:trHeight w:val="360" w:hRule="atLeast"/>
        </w:trPr>
        <w:tc>
          <w:tcPr>
            <w:tcW w:w="4500" w:type="dxa"/>
            <w:vAlign w:val="center"/>
            <w:shd w:val="clear" w:fill="F3F6F8"/>
            <w:noWrap/>
          </w:tcPr>
          <w:p>
            <w:pPr>
              <w:spacing w:after="0"/>
            </w:pPr>
            <w:r>
              <w:rPr>
                <w:sz w:val="22"/>
                <w:szCs w:val="22"/>
                <w:b w:val="1"/>
                <w:bCs w:val="1"/>
              </w:rPr>
              <w:t xml:space="preserve">Medium Severity Findings</w:t>
            </w:r>
          </w:p>
        </w:tc>
        <w:tc>
          <w:tcPr>
            <w:tcW w:w="4500" w:type="dxa"/>
            <w:vAlign w:val="center"/>
            <w:noWrap/>
          </w:tcPr>
          <w:p>
            <w:pPr>
              <w:spacing w:after="0"/>
            </w:pPr>
            <w:r>
              <w:rPr>
                <w:sz w:val="22"/>
                <w:szCs w:val="22"/>
              </w:rPr>
              <w:t xml:space="preserve">2</w:t>
            </w:r>
          </w:p>
        </w:tc>
      </w:tr>
      <w:tr>
        <w:trPr>
          <w:trHeight w:val="360" w:hRule="atLeast"/>
        </w:trPr>
        <w:tc>
          <w:tcPr>
            <w:tcW w:w="4500" w:type="dxa"/>
            <w:vAlign w:val="center"/>
            <w:shd w:val="clear" w:fill="F3F6F8"/>
            <w:noWrap/>
          </w:tcPr>
          <w:p>
            <w:pPr>
              <w:spacing w:after="0"/>
            </w:pPr>
            <w:r>
              <w:rPr>
                <w:sz w:val="22"/>
                <w:szCs w:val="22"/>
                <w:b w:val="1"/>
                <w:bCs w:val="1"/>
              </w:rPr>
              <w:t xml:space="preserve">Services with Findings</w:t>
            </w:r>
          </w:p>
        </w:tc>
        <w:tc>
          <w:tcPr>
            <w:tcW w:w="4500" w:type="dxa"/>
            <w:vAlign w:val="center"/>
            <w:noWrap/>
          </w:tcPr>
          <w:p>
            <w:pPr>
              <w:spacing w:after="0"/>
            </w:pPr>
            <w:r>
              <w:rPr>
                <w:sz w:val="22"/>
                <w:szCs w:val="22"/>
              </w:rPr>
              <w:t xml:space="preserve">5</w:t>
            </w:r>
          </w:p>
        </w:tc>
      </w:tr>
      <w:tr>
        <w:trPr>
          <w:trHeight w:val="360" w:hRule="atLeast"/>
        </w:trPr>
        <w:tc>
          <w:tcPr>
            <w:tcW w:w="4500" w:type="dxa"/>
            <w:vAlign w:val="center"/>
            <w:shd w:val="clear" w:fill="F3F6F8"/>
            <w:noWrap/>
          </w:tcPr>
          <w:p>
            <w:pPr>
              <w:spacing w:after="0"/>
            </w:pPr>
            <w:r>
              <w:rPr>
                <w:sz w:val="22"/>
                <w:szCs w:val="22"/>
                <w:b w:val="1"/>
                <w:bCs w:val="1"/>
              </w:rPr>
              <w:t xml:space="preserve">Architecture Domains Reviewed</w:t>
            </w:r>
          </w:p>
        </w:tc>
        <w:tc>
          <w:tcPr>
            <w:tcW w:w="4500" w:type="dxa"/>
            <w:vAlign w:val="center"/>
            <w:noWrap/>
          </w:tcPr>
          <w:p>
            <w:pPr>
              <w:spacing w:after="0"/>
            </w:pPr>
            <w:r>
              <w:rPr>
                <w:sz w:val="22"/>
                <w:szCs w:val="22"/>
              </w:rPr>
              <w:t xml:space="preserve">3</w:t>
            </w:r>
          </w:p>
        </w:tc>
      </w:tr>
      <w:tr>
        <w:trPr>
          <w:trHeight w:val="360" w:hRule="atLeast"/>
        </w:trPr>
        <w:tc>
          <w:tcPr>
            <w:tcW w:w="4500" w:type="dxa"/>
            <w:vAlign w:val="center"/>
            <w:shd w:val="clear" w:fill="F3F6F8"/>
            <w:noWrap/>
          </w:tcPr>
          <w:p>
            <w:pPr>
              <w:spacing w:after="0"/>
            </w:pPr>
            <w:r>
              <w:rPr>
                <w:sz w:val="22"/>
                <w:szCs w:val="22"/>
                <w:b w:val="1"/>
                <w:bCs w:val="1"/>
              </w:rPr>
              <w:t xml:space="preserve">Subscriptions in Scope</w:t>
            </w:r>
          </w:p>
        </w:tc>
        <w:tc>
          <w:tcPr>
            <w:tcW w:w="4500" w:type="dxa"/>
            <w:vAlign w:val="center"/>
            <w:noWrap/>
          </w:tcPr>
          <w:p>
            <w:pPr>
              <w:spacing w:after="0"/>
            </w:pPr>
            <w:r>
              <w:rPr>
                <w:sz w:val="22"/>
                <w:szCs w:val="22"/>
              </w:rPr>
              <w:t xml:space="preserve">3</w:t>
            </w:r>
          </w:p>
        </w:tc>
      </w:tr>
    </w:tbl>
    <w:p>
      <w:pPr>
        <w:spacing w:after="80"/>
      </w:pPr>
      <w:r>
        <w:rPr/>
        <w:t xml:space="preserve"/>
      </w:r>
    </w:p>
    <w:p>
      <w:pPr>
        <w:pStyle w:val="Heading3"/>
      </w:pPr>
      <w:bookmarkStart w:id="13" w:name="_Toc13"/>
      <w:r>
        <w:t>Services with Findings</w:t>
      </w:r>
      <w:bookmarkEnd w:id="13"/>
    </w:p>
    <w:tbl>
      <w:tblGrid>
        <w:gridCol w:w="7200" w:type="dxa"/>
        <w:gridCol w:w="18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7200" w:type="dxa"/>
            <w:vAlign w:val="center"/>
            <w:shd w:val="clear" w:fill="102A43"/>
            <w:noWrap/>
          </w:tcPr>
          <w:p>
            <w:pPr>
              <w:spacing w:after="0"/>
            </w:pPr>
            <w:r>
              <w:rPr>
                <w:rFonts w:ascii="Calibri" w:hAnsi="Calibri" w:eastAsia="Calibri" w:cs="Calibri"/>
                <w:color w:val="FFFFFF"/>
                <w:sz w:val="18"/>
                <w:szCs w:val="18"/>
                <w:b w:val="1"/>
                <w:bCs w:val="1"/>
              </w:rPr>
              <w:t xml:space="preserve">Service</w:t>
            </w:r>
          </w:p>
        </w:tc>
        <w:tc>
          <w:tcPr>
            <w:tcW w:w="1800" w:type="dxa"/>
            <w:vAlign w:val="center"/>
            <w:shd w:val="clear" w:fill="102A43"/>
            <w:noWrap/>
          </w:tcPr>
          <w:p>
            <w:pPr>
              <w:spacing w:after="0"/>
            </w:pPr>
            <w:r>
              <w:rPr>
                <w:rFonts w:ascii="Calibri" w:hAnsi="Calibri" w:eastAsia="Calibri" w:cs="Calibri"/>
                <w:color w:val="FFFFFF"/>
                <w:sz w:val="18"/>
                <w:szCs w:val="18"/>
                <w:b w:val="1"/>
                <w:bCs w:val="1"/>
              </w:rPr>
              <w:t xml:space="preserve">Findings</w:t>
            </w:r>
          </w:p>
        </w:tc>
      </w:tr>
      <w:tr>
        <w:trPr>
          <w:trHeight w:val="420" w:hRule="atLeast"/>
        </w:trPr>
        <w:tc>
          <w:tcPr>
            <w:tcW w:w="7200" w:type="dxa"/>
            <w:vAlign w:val="center"/>
            <w:shd w:val="clear" w:fill="FFFFFF"/>
            <w:noWrap/>
          </w:tcPr>
          <w:p>
            <w:pPr>
              <w:spacing w:after="0"/>
            </w:pPr>
            <w:r>
              <w:rPr>
                <w:sz w:val="22"/>
                <w:szCs w:val="22"/>
              </w:rPr>
              <w:t xml:space="preserve">Microsoft.Authorization/policy Assignments</w:t>
            </w:r>
          </w:p>
        </w:tc>
        <w:tc>
          <w:tcPr>
            <w:tcW w:w="1800" w:type="dxa"/>
            <w:vAlign w:val="center"/>
            <w:shd w:val="clear" w:fill="FFFFFF"/>
            <w:noWrap/>
          </w:tcPr>
          <w:p>
            <w:pPr>
              <w:spacing w:after="0"/>
            </w:pPr>
            <w:r>
              <w:rPr>
                <w:sz w:val="22"/>
                <w:szCs w:val="22"/>
              </w:rPr>
              <w:t xml:space="preserve">1</w:t>
            </w:r>
          </w:p>
        </w:tc>
      </w:tr>
      <w:tr>
        <w:trPr>
          <w:trHeight w:val="420" w:hRule="atLeast"/>
        </w:trPr>
        <w:tc>
          <w:tcPr>
            <w:tcW w:w="7200" w:type="dxa"/>
            <w:vAlign w:val="center"/>
            <w:shd w:val="clear" w:fill="F3F6F8"/>
            <w:noWrap/>
          </w:tcPr>
          <w:p>
            <w:pPr>
              <w:spacing w:after="0"/>
            </w:pPr>
            <w:r>
              <w:pict>
                <v:shape type="#_x0000_t75" stroked="f" style="width:12px; height:12px; margin-left:0px; margin-top:0px; mso-position-horizontal:left; mso-position-vertical:top; mso-position-horizontal-relative:char; mso-position-vertical-relative:line;">
                  <w10:wrap type="inline"/>
                  <v:imagedata r:id="rId7" o:title=""/>
                </v:shape>
              </w:pict>
            </w:r>
            <w:r>
              <w:rPr>
                <w:sz w:val="22"/>
                <w:szCs w:val="22"/>
              </w:rPr>
              <w:t xml:space="preserve">   Microsoft.Storage/storage Accounts</w:t>
            </w:r>
          </w:p>
        </w:tc>
        <w:tc>
          <w:tcPr>
            <w:tcW w:w="1800" w:type="dxa"/>
            <w:vAlign w:val="center"/>
            <w:shd w:val="clear" w:fill="F3F6F8"/>
            <w:noWrap/>
          </w:tcPr>
          <w:p>
            <w:pPr>
              <w:spacing w:after="0"/>
            </w:pPr>
            <w:r>
              <w:rPr>
                <w:sz w:val="22"/>
                <w:szCs w:val="22"/>
              </w:rPr>
              <w:t xml:space="preserve">1</w:t>
            </w:r>
          </w:p>
        </w:tc>
      </w:tr>
      <w:tr>
        <w:trPr>
          <w:trHeight w:val="420" w:hRule="atLeast"/>
        </w:trPr>
        <w:tc>
          <w:tcPr>
            <w:tcW w:w="7200" w:type="dxa"/>
            <w:vAlign w:val="center"/>
            <w:shd w:val="clear" w:fill="FFFFFF"/>
            <w:noWrap/>
          </w:tcPr>
          <w:p>
            <w:pPr>
              <w:spacing w:after="0"/>
            </w:pPr>
            <w:r>
              <w:pict>
                <v:shape type="#_x0000_t75" stroked="f" style="width:12px; height:12px; margin-left:0px; margin-top:0px; mso-position-horizontal:left; mso-position-vertical:top; mso-position-horizontal-relative:char; mso-position-vertical-relative:line;">
                  <w10:wrap type="inline"/>
                  <v:imagedata r:id="rId8" o:title=""/>
                </v:shape>
              </w:pict>
            </w:r>
            <w:r>
              <w:rPr>
                <w:sz w:val="22"/>
                <w:szCs w:val="22"/>
              </w:rPr>
              <w:t xml:space="preserve">   Microsoft.Key Vault/vaults</w:t>
            </w:r>
          </w:p>
        </w:tc>
        <w:tc>
          <w:tcPr>
            <w:tcW w:w="1800" w:type="dxa"/>
            <w:vAlign w:val="center"/>
            <w:shd w:val="clear" w:fill="FFFFFF"/>
            <w:noWrap/>
          </w:tcPr>
          <w:p>
            <w:pPr>
              <w:spacing w:after="0"/>
            </w:pPr>
            <w:r>
              <w:rPr>
                <w:sz w:val="22"/>
                <w:szCs w:val="22"/>
              </w:rPr>
              <w:t xml:space="preserve">1</w:t>
            </w:r>
          </w:p>
        </w:tc>
      </w:tr>
      <w:tr>
        <w:trPr>
          <w:trHeight w:val="420" w:hRule="atLeast"/>
        </w:trPr>
        <w:tc>
          <w:tcPr>
            <w:tcW w:w="7200" w:type="dxa"/>
            <w:vAlign w:val="center"/>
            <w:shd w:val="clear" w:fill="F3F6F8"/>
            <w:noWrap/>
          </w:tcPr>
          <w:p>
            <w:pPr>
              <w:spacing w:after="0"/>
            </w:pPr>
            <w:r>
              <w:pict>
                <v:shape type="#_x0000_t75" stroked="f" style="width:12px; height:12px; margin-left:0px; margin-top:0px; mso-position-horizontal:left; mso-position-vertical:top; mso-position-horizontal-relative:char; mso-position-vertical-relative:line;">
                  <w10:wrap type="inline"/>
                  <v:imagedata r:id="rId9" o:title=""/>
                </v:shape>
              </w:pict>
            </w:r>
            <w:r>
              <w:rPr>
                <w:sz w:val="22"/>
                <w:szCs w:val="22"/>
              </w:rPr>
              <w:t xml:space="preserve">   Microsoft.Compute/virtual Machines</w:t>
            </w:r>
          </w:p>
        </w:tc>
        <w:tc>
          <w:tcPr>
            <w:tcW w:w="1800" w:type="dxa"/>
            <w:vAlign w:val="center"/>
            <w:shd w:val="clear" w:fill="F3F6F8"/>
            <w:noWrap/>
          </w:tcPr>
          <w:p>
            <w:pPr>
              <w:spacing w:after="0"/>
            </w:pPr>
            <w:r>
              <w:rPr>
                <w:sz w:val="22"/>
                <w:szCs w:val="22"/>
              </w:rPr>
              <w:t xml:space="preserve">1</w:t>
            </w:r>
          </w:p>
        </w:tc>
      </w:tr>
      <w:tr>
        <w:trPr>
          <w:trHeight w:val="420" w:hRule="atLeast"/>
        </w:trPr>
        <w:tc>
          <w:tcPr>
            <w:tcW w:w="7200" w:type="dxa"/>
            <w:vAlign w:val="center"/>
            <w:shd w:val="clear" w:fill="FFFFFF"/>
            <w:noWrap/>
          </w:tcPr>
          <w:p>
            <w:pPr>
              <w:spacing w:after="0"/>
            </w:pPr>
            <w:r>
              <w:pict>
                <v:shape type="#_x0000_t75" stroked="f" style="width:12px; height:12px; margin-left:0px; margin-top:0px; mso-position-horizontal:left; mso-position-vertical:top; mso-position-horizontal-relative:char; mso-position-vertical-relative:line;">
                  <w10:wrap type="inline"/>
                  <v:imagedata r:id="rId10" o:title=""/>
                </v:shape>
              </w:pict>
            </w:r>
            <w:r>
              <w:rPr>
                <w:sz w:val="22"/>
                <w:szCs w:val="22"/>
              </w:rPr>
              <w:t xml:space="preserve">   Microsoft.Network/network Security Groups</w:t>
            </w:r>
          </w:p>
        </w:tc>
        <w:tc>
          <w:tcPr>
            <w:tcW w:w="1800" w:type="dxa"/>
            <w:vAlign w:val="center"/>
            <w:shd w:val="clear" w:fill="FFFFFF"/>
            <w:noWrap/>
          </w:tcPr>
          <w:p>
            <w:pPr>
              <w:spacing w:after="0"/>
            </w:pPr>
            <w:r>
              <w:rPr>
                <w:sz w:val="22"/>
                <w:szCs w:val="22"/>
              </w:rPr>
              <w:t xml:space="preserve">1</w:t>
            </w:r>
          </w:p>
        </w:tc>
      </w:tr>
    </w:tbl>
    <w:p>
      <w:pPr>
        <w:pStyle w:val="Heading1"/>
      </w:pPr>
      <w:bookmarkStart w:id="14" w:name="_Toc14"/>
      <w:r>
        <w:t>Cost Overview</w:t>
      </w:r>
      <w:bookmarkEnd w:id="14"/>
    </w:p>
    <w:p>
      <w:pPr>
        <w:keepNext w:val="1"/>
        <w:spacing w:before="0" w:after="90"/>
        <w:pBdr>
          <w:bottom w:val="single" w:sz="8" w:color="007F95"/>
        </w:pBdr>
      </w:pPr>
      <w:r>
        <w:rPr>
          <w:sz w:val="8"/>
          <w:szCs w:val="8"/>
        </w:rPr>
        <w:t xml:space="preserve"/>
      </w:r>
    </w:p>
    <w:p>
      <w:pPr>
        <w:spacing w:after="120"/>
      </w:pPr>
      <w:r>
        <w:rPr>
          <w:color w:val="102A43"/>
          <w:sz w:val="22"/>
          <w:szCs w:val="22"/>
        </w:rPr>
        <w:t xml:space="preserve">This section compares Azure ActualCost for the latest 30 completed UTC days with the preceding 30-day period. It is a historical analytical view, not a forecast or an estimate of potential savings.</w:t>
      </w:r>
    </w:p>
    <w:p>
      <w:pPr>
        <w:spacing w:after="120"/>
      </w:pPr>
      <w:r>
        <w:rPr>
          <w:color w:val="52627A"/>
          <w:sz w:val="20"/>
          <w:szCs w:val="20"/>
        </w:rPr>
        <w:t xml:space="preserve">Current period: 2026-08-16 to 2026-09-14 UTC. Previous period: 2026-07-17 to 2026-08-15 UTC.</w:t>
      </w:r>
    </w:p>
    <w:tbl>
      <w:tblGrid>
        <w:gridCol w:w="2250" w:type="dxa"/>
        <w:gridCol w:w="2250" w:type="dxa"/>
        <w:gridCol w:w="2250" w:type="dxa"/>
        <w:gridCol w:w="2250" w:type="dxa"/>
      </w:tblGrid>
      <w:tblPr>
        <w:tblW w:w="9000" w:type="dxa"/>
        <w:tblInd w:w="180" w:type="dxa"/>
        <w:tblLayout w:type="fixed"/>
        <w:tblCellMar>
          <w:top w:w="180" w:type="dxa"/>
          <w:left w:w="180" w:type="dxa"/>
          <w:right w:w="180" w:type="dxa"/>
          <w:bottom w:w="1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1040" w:hRule="atLeast"/>
          <w:cantSplit w:val="1"/>
        </w:trPr>
        <w:tc>
          <w:tcPr>
            <w:tcW w:w="2250" w:type="dxa"/>
            <w:vAlign w:val="center"/>
            <w:shd w:val="clear" w:fill="102A43"/>
            <w:noWrap/>
          </w:tcPr>
          <w:p>
            <w:pPr>
              <w:spacing w:after="60" w:line="240" w:lineRule="auto"/>
            </w:pPr>
            <w:r>
              <w:rPr>
                <w:color w:val="65DDD1"/>
                <w:sz w:val="46"/>
                <w:szCs w:val="46"/>
                <w:b w:val="1"/>
                <w:bCs w:val="1"/>
              </w:rPr>
              <w:t xml:space="preserve">£9,420.00</w:t>
            </w:r>
          </w:p>
          <w:p>
            <w:pPr>
              <w:spacing w:after="35"/>
            </w:pPr>
            <w:r>
              <w:rPr>
                <w:color w:val="FFFFFF"/>
                <w:sz w:val="20"/>
                <w:szCs w:val="20"/>
                <w:b w:val="1"/>
                <w:bCs w:val="1"/>
              </w:rPr>
              <w:t xml:space="preserve">Current 30 days</w:t>
            </w:r>
          </w:p>
          <w:p>
            <w:pPr>
              <w:spacing w:after="0"/>
            </w:pPr>
            <w:r>
              <w:rPr>
                <w:color w:val="C4D5E4"/>
                <w:sz w:val="16"/>
                <w:szCs w:val="16"/>
              </w:rPr>
              <w:t xml:space="preserve">Latest completed period</w:t>
            </w:r>
          </w:p>
        </w:tc>
        <w:tc>
          <w:tcPr>
            <w:tcW w:w="2250" w:type="dxa"/>
            <w:vAlign w:val="center"/>
            <w:shd w:val="clear" w:fill="102A43"/>
            <w:noWrap/>
          </w:tcPr>
          <w:p>
            <w:pPr>
              <w:spacing w:after="60" w:line="240" w:lineRule="auto"/>
            </w:pPr>
            <w:r>
              <w:rPr>
                <w:color w:val="FFFFFF"/>
                <w:sz w:val="46"/>
                <w:szCs w:val="46"/>
                <w:b w:val="1"/>
                <w:bCs w:val="1"/>
              </w:rPr>
              <w:t xml:space="preserve">£8,750.00</w:t>
            </w:r>
          </w:p>
          <w:p>
            <w:pPr>
              <w:spacing w:after="35"/>
            </w:pPr>
            <w:r>
              <w:rPr>
                <w:color w:val="FFFFFF"/>
                <w:sz w:val="20"/>
                <w:szCs w:val="20"/>
                <w:b w:val="1"/>
                <w:bCs w:val="1"/>
              </w:rPr>
              <w:t xml:space="preserve">Previous 30 days</w:t>
            </w:r>
          </w:p>
          <w:p>
            <w:pPr>
              <w:spacing w:after="0"/>
            </w:pPr>
            <w:r>
              <w:rPr>
                <w:color w:val="C4D5E4"/>
                <w:sz w:val="16"/>
                <w:szCs w:val="16"/>
              </w:rPr>
              <w:t xml:space="preserve">Preceding 30 days</w:t>
            </w:r>
          </w:p>
        </w:tc>
        <w:tc>
          <w:tcPr>
            <w:tcW w:w="2250" w:type="dxa"/>
            <w:vAlign w:val="center"/>
            <w:shd w:val="clear" w:fill="102A43"/>
            <w:noWrap/>
          </w:tcPr>
          <w:p>
            <w:pPr>
              <w:spacing w:after="60" w:line="240" w:lineRule="auto"/>
            </w:pPr>
            <w:r>
              <w:rPr>
                <w:color w:val="FFFFFF"/>
                <w:sz w:val="46"/>
                <w:szCs w:val="46"/>
                <w:b w:val="1"/>
                <w:bCs w:val="1"/>
              </w:rPr>
              <w:t xml:space="preserve">+£670.00</w:t>
            </w:r>
          </w:p>
          <w:p>
            <w:pPr>
              <w:spacing w:after="35"/>
            </w:pPr>
            <w:r>
              <w:rPr>
                <w:color w:val="FFFFFF"/>
                <w:sz w:val="20"/>
                <w:szCs w:val="20"/>
                <w:b w:val="1"/>
                <w:bCs w:val="1"/>
              </w:rPr>
              <w:t xml:space="preserve">Absolute change</w:t>
            </w:r>
          </w:p>
          <w:p>
            <w:pPr>
              <w:spacing w:after="0"/>
            </w:pPr>
            <w:r>
              <w:rPr>
                <w:color w:val="C4D5E4"/>
                <w:sz w:val="16"/>
                <w:szCs w:val="16"/>
              </w:rPr>
              <w:t xml:space="preserve">Current minus previous</w:t>
            </w:r>
          </w:p>
        </w:tc>
        <w:tc>
          <w:tcPr>
            <w:tcW w:w="2250" w:type="dxa"/>
            <w:vAlign w:val="center"/>
            <w:shd w:val="clear" w:fill="102A43"/>
            <w:noWrap/>
          </w:tcPr>
          <w:p>
            <w:pPr>
              <w:spacing w:after="60" w:line="240" w:lineRule="auto"/>
            </w:pPr>
            <w:r>
              <w:rPr>
                <w:color w:val="FFFFFF"/>
                <w:sz w:val="46"/>
                <w:szCs w:val="46"/>
                <w:b w:val="1"/>
                <w:bCs w:val="1"/>
              </w:rPr>
              <w:t xml:space="preserve">+7.7%</w:t>
            </w:r>
          </w:p>
          <w:p>
            <w:pPr>
              <w:spacing w:after="35"/>
            </w:pPr>
            <w:r>
              <w:rPr>
                <w:color w:val="FFFFFF"/>
                <w:sz w:val="20"/>
                <w:szCs w:val="20"/>
                <w:b w:val="1"/>
                <w:bCs w:val="1"/>
              </w:rPr>
              <w:t xml:space="preserve">Period change</w:t>
            </w:r>
          </w:p>
          <w:p>
            <w:pPr>
              <w:spacing w:after="0"/>
            </w:pPr>
            <w:r>
              <w:rPr>
                <w:color w:val="C4D5E4"/>
                <w:sz w:val="16"/>
                <w:szCs w:val="16"/>
              </w:rPr>
              <w:t xml:space="preserve">Relative movement</w:t>
            </w:r>
          </w:p>
        </w:tc>
      </w:tr>
    </w:tbl>
    <w:p>
      <w:pPr>
        <w:spacing w:before="60" w:after="140"/>
      </w:pPr>
      <w:r>
        <w:rPr>
          <w:color w:val="52627A"/>
          <w:sz w:val="18"/>
          <w:szCs w:val="18"/>
        </w:rPr>
        <w:t xml:space="preserve">Display basis: GBP · Coverage: 3 of 3 subscriptions</w:t>
      </w:r>
    </w:p>
    <w:p>
      <w:pPr>
        <w:pStyle w:val="Heading3"/>
      </w:pPr>
      <w:bookmarkStart w:id="15" w:name="_Toc15"/>
      <w:r>
        <w:t>Daily Cost Trend</w:t>
      </w:r>
      <w:bookmarkEnd w:id="15"/>
    </w:p>
    <w:p>
      <w:pPr>
        <w:spacing w:after="80"/>
      </w:pPr>
      <w:r>
        <w:rPr>
          <w:color w:val="52627A"/>
          <w:sz w:val="20"/>
          <w:szCs w:val="20"/>
        </w:rPr>
        <w:t xml:space="preserve">The two periods are aligned by day number to make changes in daily cost patterns easier to compare.</w:t>
      </w:r>
    </w:p>
    <w:p>
      <w:r>
        <w:drawing>
          <wp:inline>
            <wp:extent cx="5000000" cy="2300000"/>
            <wp:docPr id="18" name="Chart18"/>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after="80"/>
      </w:pPr>
      <w:r>
        <w:rPr/>
        <w:t xml:space="preserve"/>
      </w:r>
    </w:p>
    <w:p>
      <w:pPr>
        <w:pStyle w:val="Heading3"/>
      </w:pPr>
      <w:bookmarkStart w:id="16" w:name="_Toc16"/>
      <w:r>
        <w:t>Largest Service Cost Changes</w:t>
      </w:r>
      <w:bookmarkEnd w:id="16"/>
    </w:p>
    <w:p>
      <w:pPr>
        <w:spacing w:after="80"/>
      </w:pPr>
      <w:r>
        <w:rPr>
          <w:color w:val="52627A"/>
          <w:sz w:val="20"/>
          <w:szCs w:val="20"/>
        </w:rPr>
        <w:t xml:space="preserve">Services with the largest absolute movement between the two periods.</w:t>
      </w:r>
    </w:p>
    <w:tbl>
      <w:tblGrid>
        <w:gridCol w:w="2800" w:type="dxa"/>
        <w:gridCol w:w="1600" w:type="dxa"/>
        <w:gridCol w:w="1600" w:type="dxa"/>
        <w:gridCol w:w="1600" w:type="dxa"/>
        <w:gridCol w:w="14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2800" w:type="dxa"/>
            <w:vAlign w:val="center"/>
            <w:shd w:val="clear" w:fill="102A43"/>
            <w:noWrap/>
          </w:tcPr>
          <w:p>
            <w:pPr>
              <w:spacing w:after="0"/>
            </w:pPr>
            <w:r>
              <w:rPr>
                <w:rFonts w:ascii="Calibri" w:hAnsi="Calibri" w:eastAsia="Calibri" w:cs="Calibri"/>
                <w:color w:val="FFFFFF"/>
                <w:sz w:val="18"/>
                <w:szCs w:val="18"/>
                <w:b w:val="1"/>
                <w:bCs w:val="1"/>
              </w:rPr>
              <w:t xml:space="preserve">Service</w:t>
            </w:r>
          </w:p>
        </w:tc>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Current</w:t>
            </w:r>
          </w:p>
        </w:tc>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Previous</w:t>
            </w:r>
          </w:p>
        </w:tc>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Change</w:t>
            </w:r>
          </w:p>
        </w:tc>
        <w:tc>
          <w:tcPr>
            <w:tcW w:w="1400" w:type="dxa"/>
            <w:vAlign w:val="center"/>
            <w:shd w:val="clear" w:fill="102A43"/>
            <w:noWrap/>
          </w:tcPr>
          <w:p>
            <w:pPr>
              <w:spacing w:after="0"/>
            </w:pPr>
            <w:r>
              <w:rPr>
                <w:rFonts w:ascii="Calibri" w:hAnsi="Calibri" w:eastAsia="Calibri" w:cs="Calibri"/>
                <w:color w:val="FFFFFF"/>
                <w:sz w:val="18"/>
                <w:szCs w:val="18"/>
                <w:b w:val="1"/>
                <w:bCs w:val="1"/>
              </w:rPr>
              <w:t xml:space="preserve">Trend</w:t>
            </w:r>
          </w:p>
        </w:tc>
      </w:tr>
      <w:tr>
        <w:trPr>
          <w:trHeight w:val="440" w:hRule="atLeast"/>
          <w:cantSplit w:val="1"/>
        </w:trPr>
        <w:tc>
          <w:tcPr>
            <w:tcW w:w="2800" w:type="dxa"/>
            <w:vAlign w:val="center"/>
            <w:shd w:val="clear" w:fill="FFFFFF"/>
            <w:noWrap/>
          </w:tcPr>
          <w:p>
            <w:pPr>
              <w:spacing w:after="0"/>
            </w:pPr>
            <w:r>
              <w:pict>
                <v:shape type="#_x0000_t75" stroked="f" style="width:14px; height:14px; margin-left:0px; margin-top:0px; mso-position-horizontal:left; mso-position-vertical:top; mso-position-horizontal-relative:char; mso-position-vertical-relative:line;">
                  <w10:wrap type="inline"/>
                  <v:imagedata r:id="rId11" o:title=""/>
                </v:shape>
              </w:pict>
            </w:r>
            <w:r>
              <w:rPr>
                <w:color w:val="102A43"/>
                <w:sz w:val="20"/>
                <w:szCs w:val="20"/>
                <w:b w:val="1"/>
                <w:bCs w:val="1"/>
              </w:rPr>
              <w:t xml:space="preserve">   Azure Firewall</w:t>
            </w:r>
          </w:p>
        </w:tc>
        <w:tc>
          <w:tcPr>
            <w:tcW w:w="1600" w:type="dxa"/>
            <w:vAlign w:val="center"/>
            <w:shd w:val="clear" w:fill="FFFFFF"/>
            <w:noWrap/>
          </w:tcPr>
          <w:p>
            <w:pPr>
              <w:jc w:val="end"/>
              <w:spacing w:after="0"/>
            </w:pPr>
            <w:r>
              <w:rPr>
                <w:color w:val="102A43"/>
                <w:sz w:val="20"/>
                <w:szCs w:val="20"/>
                <w:b w:val="0"/>
                <w:bCs w:val="0"/>
              </w:rPr>
              <w:t xml:space="preserve">£2,140.00</w:t>
            </w:r>
          </w:p>
        </w:tc>
        <w:tc>
          <w:tcPr>
            <w:tcW w:w="1600" w:type="dxa"/>
            <w:vAlign w:val="center"/>
            <w:shd w:val="clear" w:fill="FFFFFF"/>
            <w:noWrap/>
          </w:tcPr>
          <w:p>
            <w:pPr>
              <w:jc w:val="end"/>
              <w:spacing w:after="0"/>
            </w:pPr>
            <w:r>
              <w:rPr>
                <w:color w:val="102A43"/>
                <w:sz w:val="20"/>
                <w:szCs w:val="20"/>
                <w:b w:val="0"/>
                <w:bCs w:val="0"/>
              </w:rPr>
              <w:t xml:space="preserve">£1,810.00</w:t>
            </w:r>
          </w:p>
        </w:tc>
        <w:tc>
          <w:tcPr>
            <w:tcW w:w="1600" w:type="dxa"/>
            <w:vAlign w:val="center"/>
            <w:shd w:val="clear" w:fill="FFFFFF"/>
            <w:noWrap/>
          </w:tcPr>
          <w:p>
            <w:pPr>
              <w:jc w:val="end"/>
              <w:spacing w:after="0"/>
            </w:pPr>
            <w:r>
              <w:rPr>
                <w:color w:val="A42638"/>
                <w:sz w:val="20"/>
                <w:szCs w:val="20"/>
                <w:b w:val="1"/>
                <w:bCs w:val="1"/>
              </w:rPr>
              <w:t xml:space="preserve">+£330.00</w:t>
            </w:r>
          </w:p>
        </w:tc>
        <w:tc>
          <w:tcPr>
            <w:tcW w:w="1400" w:type="dxa"/>
            <w:vAlign w:val="center"/>
            <w:shd w:val="clear" w:fill="FFFFFF"/>
            <w:noWrap/>
          </w:tcPr>
          <w:p>
            <w:pPr>
              <w:jc w:val="end"/>
              <w:spacing w:after="0"/>
            </w:pPr>
            <w:r>
              <w:rPr>
                <w:color w:val="102A43"/>
                <w:sz w:val="20"/>
                <w:szCs w:val="20"/>
                <w:b w:val="0"/>
                <w:bCs w:val="0"/>
              </w:rPr>
              <w:t xml:space="preserve">+18.2%</w:t>
            </w:r>
          </w:p>
        </w:tc>
      </w:tr>
      <w:tr>
        <w:trPr>
          <w:trHeight w:val="440" w:hRule="atLeast"/>
          <w:cantSplit w:val="1"/>
        </w:trPr>
        <w:tc>
          <w:tcPr>
            <w:tcW w:w="2800" w:type="dxa"/>
            <w:vAlign w:val="center"/>
            <w:shd w:val="clear" w:fill="F3F6F8"/>
            <w:noWrap/>
          </w:tcPr>
          <w:p>
            <w:pPr>
              <w:spacing w:after="0"/>
            </w:pPr>
            <w:r>
              <w:pict>
                <v:shape type="#_x0000_t75" stroked="f" style="width:14px; height:14px; margin-left:0px; margin-top:0px; mso-position-horizontal:left; mso-position-vertical:top; mso-position-horizontal-relative:char; mso-position-vertical-relative:line;">
                  <w10:wrap type="inline"/>
                  <v:imagedata r:id="rId9" o:title=""/>
                </v:shape>
              </w:pict>
            </w:r>
            <w:r>
              <w:rPr>
                <w:color w:val="102A43"/>
                <w:sz w:val="20"/>
                <w:szCs w:val="20"/>
                <w:b w:val="1"/>
                <w:bCs w:val="1"/>
              </w:rPr>
              <w:t xml:space="preserve">   Virtual Machines</w:t>
            </w:r>
          </w:p>
        </w:tc>
        <w:tc>
          <w:tcPr>
            <w:tcW w:w="1600" w:type="dxa"/>
            <w:vAlign w:val="center"/>
            <w:shd w:val="clear" w:fill="F3F6F8"/>
            <w:noWrap/>
          </w:tcPr>
          <w:p>
            <w:pPr>
              <w:jc w:val="end"/>
              <w:spacing w:after="0"/>
            </w:pPr>
            <w:r>
              <w:rPr>
                <w:color w:val="102A43"/>
                <w:sz w:val="20"/>
                <w:szCs w:val="20"/>
                <w:b w:val="0"/>
                <w:bCs w:val="0"/>
              </w:rPr>
              <w:t xml:space="preserve">£3,860.00</w:t>
            </w:r>
          </w:p>
        </w:tc>
        <w:tc>
          <w:tcPr>
            <w:tcW w:w="1600" w:type="dxa"/>
            <w:vAlign w:val="center"/>
            <w:shd w:val="clear" w:fill="F3F6F8"/>
            <w:noWrap/>
          </w:tcPr>
          <w:p>
            <w:pPr>
              <w:jc w:val="end"/>
              <w:spacing w:after="0"/>
            </w:pPr>
            <w:r>
              <w:rPr>
                <w:color w:val="102A43"/>
                <w:sz w:val="20"/>
                <w:szCs w:val="20"/>
                <w:b w:val="0"/>
                <w:bCs w:val="0"/>
              </w:rPr>
              <w:t xml:space="preserve">£3,660.00</w:t>
            </w:r>
          </w:p>
        </w:tc>
        <w:tc>
          <w:tcPr>
            <w:tcW w:w="1600" w:type="dxa"/>
            <w:vAlign w:val="center"/>
            <w:shd w:val="clear" w:fill="F3F6F8"/>
            <w:noWrap/>
          </w:tcPr>
          <w:p>
            <w:pPr>
              <w:jc w:val="end"/>
              <w:spacing w:after="0"/>
            </w:pPr>
            <w:r>
              <w:rPr>
                <w:color w:val="A42638"/>
                <w:sz w:val="20"/>
                <w:szCs w:val="20"/>
                <w:b w:val="1"/>
                <w:bCs w:val="1"/>
              </w:rPr>
              <w:t xml:space="preserve">+£200.00</w:t>
            </w:r>
          </w:p>
        </w:tc>
        <w:tc>
          <w:tcPr>
            <w:tcW w:w="1400" w:type="dxa"/>
            <w:vAlign w:val="center"/>
            <w:shd w:val="clear" w:fill="F3F6F8"/>
            <w:noWrap/>
          </w:tcPr>
          <w:p>
            <w:pPr>
              <w:jc w:val="end"/>
              <w:spacing w:after="0"/>
            </w:pPr>
            <w:r>
              <w:rPr>
                <w:color w:val="102A43"/>
                <w:sz w:val="20"/>
                <w:szCs w:val="20"/>
                <w:b w:val="0"/>
                <w:bCs w:val="0"/>
              </w:rPr>
              <w:t xml:space="preserve">+5.5%</w:t>
            </w:r>
          </w:p>
        </w:tc>
      </w:tr>
      <w:tr>
        <w:trPr>
          <w:trHeight w:val="440" w:hRule="atLeast"/>
          <w:cantSplit w:val="1"/>
        </w:trPr>
        <w:tc>
          <w:tcPr>
            <w:tcW w:w="2800" w:type="dxa"/>
            <w:vAlign w:val="center"/>
            <w:shd w:val="clear" w:fill="FFFFFF"/>
            <w:noWrap/>
          </w:tcPr>
          <w:p>
            <w:pPr>
              <w:spacing w:after="0"/>
            </w:pPr>
            <w:r>
              <w:pict>
                <v:shape type="#_x0000_t75" stroked="f" style="width:14px; height:14px; margin-left:0px; margin-top:0px; mso-position-horizontal:left; mso-position-vertical:top; mso-position-horizontal-relative:char; mso-position-vertical-relative:line;">
                  <w10:wrap type="inline"/>
                  <v:imagedata r:id="rId7" o:title=""/>
                </v:shape>
              </w:pict>
            </w:r>
            <w:r>
              <w:rPr>
                <w:color w:val="102A43"/>
                <w:sz w:val="20"/>
                <w:szCs w:val="20"/>
                <w:b w:val="1"/>
                <w:bCs w:val="1"/>
              </w:rPr>
              <w:t xml:space="preserve">   Storage</w:t>
            </w:r>
          </w:p>
        </w:tc>
        <w:tc>
          <w:tcPr>
            <w:tcW w:w="1600" w:type="dxa"/>
            <w:vAlign w:val="center"/>
            <w:shd w:val="clear" w:fill="FFFFFF"/>
            <w:noWrap/>
          </w:tcPr>
          <w:p>
            <w:pPr>
              <w:jc w:val="end"/>
              <w:spacing w:after="0"/>
            </w:pPr>
            <w:r>
              <w:rPr>
                <w:color w:val="102A43"/>
                <w:sz w:val="20"/>
                <w:szCs w:val="20"/>
                <w:b w:val="0"/>
                <w:bCs w:val="0"/>
              </w:rPr>
              <w:t xml:space="preserve">£1,220.00</w:t>
            </w:r>
          </w:p>
        </w:tc>
        <w:tc>
          <w:tcPr>
            <w:tcW w:w="1600" w:type="dxa"/>
            <w:vAlign w:val="center"/>
            <w:shd w:val="clear" w:fill="FFFFFF"/>
            <w:noWrap/>
          </w:tcPr>
          <w:p>
            <w:pPr>
              <w:jc w:val="end"/>
              <w:spacing w:after="0"/>
            </w:pPr>
            <w:r>
              <w:rPr>
                <w:color w:val="102A43"/>
                <w:sz w:val="20"/>
                <w:szCs w:val="20"/>
                <w:b w:val="0"/>
                <w:bCs w:val="0"/>
              </w:rPr>
              <w:t xml:space="preserve">£1,310.00</w:t>
            </w:r>
          </w:p>
        </w:tc>
        <w:tc>
          <w:tcPr>
            <w:tcW w:w="1600" w:type="dxa"/>
            <w:vAlign w:val="center"/>
            <w:shd w:val="clear" w:fill="FFFFFF"/>
            <w:noWrap/>
          </w:tcPr>
          <w:p>
            <w:pPr>
              <w:jc w:val="end"/>
              <w:spacing w:after="0"/>
            </w:pPr>
            <w:r>
              <w:rPr>
                <w:color w:val="256451"/>
                <w:sz w:val="20"/>
                <w:szCs w:val="20"/>
                <w:b w:val="1"/>
                <w:bCs w:val="1"/>
              </w:rPr>
              <w:t xml:space="preserve">−£90.00</w:t>
            </w:r>
          </w:p>
        </w:tc>
        <w:tc>
          <w:tcPr>
            <w:tcW w:w="1400" w:type="dxa"/>
            <w:vAlign w:val="center"/>
            <w:shd w:val="clear" w:fill="FFFFFF"/>
            <w:noWrap/>
          </w:tcPr>
          <w:p>
            <w:pPr>
              <w:jc w:val="end"/>
              <w:spacing w:after="0"/>
            </w:pPr>
            <w:r>
              <w:rPr>
                <w:color w:val="102A43"/>
                <w:sz w:val="20"/>
                <w:szCs w:val="20"/>
                <w:b w:val="0"/>
                <w:bCs w:val="0"/>
              </w:rPr>
              <w:t xml:space="preserve">−6.9%</w:t>
            </w:r>
          </w:p>
        </w:tc>
      </w:tr>
    </w:tbl>
    <w:p>
      <w:pPr>
        <w:spacing w:after="60"/>
      </w:pPr>
      <w:r>
        <w:rPr/>
        <w:t xml:space="preserve"/>
      </w:r>
    </w:p>
    <w:p>
      <w:pPr>
        <w:pStyle w:val="Heading3"/>
      </w:pPr>
      <w:bookmarkStart w:id="17" w:name="_Toc17"/>
      <w:r>
        <w:t>Current Top Services</w:t>
      </w:r>
      <w:bookmarkEnd w:id="17"/>
    </w:p>
    <w:tbl>
      <w:tblGrid>
        <w:gridCol w:w="6500" w:type="dxa"/>
        <w:gridCol w:w="25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6500" w:type="dxa"/>
            <w:vAlign w:val="center"/>
            <w:shd w:val="clear" w:fill="102A43"/>
            <w:noWrap/>
          </w:tcPr>
          <w:p>
            <w:pPr>
              <w:spacing w:after="0"/>
            </w:pPr>
            <w:r>
              <w:rPr>
                <w:rFonts w:ascii="Calibri" w:hAnsi="Calibri" w:eastAsia="Calibri" w:cs="Calibri"/>
                <w:color w:val="FFFFFF"/>
                <w:sz w:val="18"/>
                <w:szCs w:val="18"/>
                <w:b w:val="1"/>
                <w:bCs w:val="1"/>
              </w:rPr>
              <w:t xml:space="preserve">Service</w:t>
            </w:r>
          </w:p>
        </w:tc>
        <w:tc>
          <w:tcPr>
            <w:tcW w:w="2500" w:type="dxa"/>
            <w:vAlign w:val="center"/>
            <w:shd w:val="clear" w:fill="102A43"/>
            <w:noWrap/>
          </w:tcPr>
          <w:p>
            <w:pPr>
              <w:spacing w:after="0"/>
            </w:pPr>
            <w:r>
              <w:rPr>
                <w:rFonts w:ascii="Calibri" w:hAnsi="Calibri" w:eastAsia="Calibri" w:cs="Calibri"/>
                <w:color w:val="FFFFFF"/>
                <w:sz w:val="18"/>
                <w:szCs w:val="18"/>
                <w:b w:val="1"/>
                <w:bCs w:val="1"/>
              </w:rPr>
              <w:t xml:space="preserve">Current Cost</w:t>
            </w:r>
          </w:p>
        </w:tc>
      </w:tr>
      <w:tr>
        <w:trPr>
          <w:trHeight w:val="400" w:hRule="atLeast"/>
        </w:trPr>
        <w:tc>
          <w:tcPr>
            <w:tcW w:w="6500" w:type="dxa"/>
            <w:vAlign w:val="center"/>
            <w:shd w:val="clear" w:fill="FFFFFF"/>
            <w:noWrap/>
          </w:tcPr>
          <w:p>
            <w:pPr>
              <w:spacing w:after="0"/>
            </w:pPr>
            <w:r>
              <w:pict>
                <v:shape type="#_x0000_t75" stroked="f" style="width:14px; height:14px; margin-left:0px; margin-top:0px; mso-position-horizontal:left; mso-position-vertical:top; mso-position-horizontal-relative:char; mso-position-vertical-relative:line;">
                  <w10:wrap type="inline"/>
                  <v:imagedata r:id="rId9" o:title=""/>
                </v:shape>
              </w:pict>
            </w:r>
            <w:r>
              <w:rPr>
                <w:color w:val="102A43"/>
                <w:sz w:val="20"/>
                <w:szCs w:val="20"/>
                <w:b w:val="1"/>
                <w:bCs w:val="1"/>
              </w:rPr>
              <w:t xml:space="preserve">   Virtual Machines</w:t>
            </w:r>
          </w:p>
        </w:tc>
        <w:tc>
          <w:tcPr>
            <w:tcW w:w="2500" w:type="dxa"/>
            <w:vAlign w:val="center"/>
            <w:shd w:val="clear" w:fill="FFFFFF"/>
            <w:noWrap/>
          </w:tcPr>
          <w:p>
            <w:pPr>
              <w:spacing w:after="0"/>
            </w:pPr>
            <w:r>
              <w:rPr>
                <w:sz w:val="20"/>
                <w:szCs w:val="20"/>
              </w:rPr>
              <w:t xml:space="preserve">£3,860.00</w:t>
            </w:r>
          </w:p>
        </w:tc>
      </w:tr>
      <w:tr>
        <w:trPr>
          <w:trHeight w:val="400" w:hRule="atLeast"/>
        </w:trPr>
        <w:tc>
          <w:tcPr>
            <w:tcW w:w="6500" w:type="dxa"/>
            <w:vAlign w:val="center"/>
            <w:shd w:val="clear" w:fill="F3F6F8"/>
            <w:noWrap/>
          </w:tcPr>
          <w:p>
            <w:pPr>
              <w:spacing w:after="0"/>
            </w:pPr>
            <w:r>
              <w:pict>
                <v:shape type="#_x0000_t75" stroked="f" style="width:14px; height:14px; margin-left:0px; margin-top:0px; mso-position-horizontal:left; mso-position-vertical:top; mso-position-horizontal-relative:char; mso-position-vertical-relative:line;">
                  <w10:wrap type="inline"/>
                  <v:imagedata r:id="rId11" o:title=""/>
                </v:shape>
              </w:pict>
            </w:r>
            <w:r>
              <w:rPr>
                <w:color w:val="102A43"/>
                <w:sz w:val="20"/>
                <w:szCs w:val="20"/>
                <w:b w:val="1"/>
                <w:bCs w:val="1"/>
              </w:rPr>
              <w:t xml:space="preserve">   Azure Firewall</w:t>
            </w:r>
          </w:p>
        </w:tc>
        <w:tc>
          <w:tcPr>
            <w:tcW w:w="2500" w:type="dxa"/>
            <w:vAlign w:val="center"/>
            <w:shd w:val="clear" w:fill="F3F6F8"/>
            <w:noWrap/>
          </w:tcPr>
          <w:p>
            <w:pPr>
              <w:spacing w:after="0"/>
            </w:pPr>
            <w:r>
              <w:rPr>
                <w:sz w:val="20"/>
                <w:szCs w:val="20"/>
              </w:rPr>
              <w:t xml:space="preserve">£2,140.00</w:t>
            </w:r>
          </w:p>
        </w:tc>
      </w:tr>
      <w:tr>
        <w:trPr>
          <w:trHeight w:val="400" w:hRule="atLeast"/>
        </w:trPr>
        <w:tc>
          <w:tcPr>
            <w:tcW w:w="6500" w:type="dxa"/>
            <w:vAlign w:val="center"/>
            <w:shd w:val="clear" w:fill="FFFFFF"/>
            <w:noWrap/>
          </w:tcPr>
          <w:p>
            <w:pPr>
              <w:spacing w:after="0"/>
            </w:pPr>
            <w:r>
              <w:pict>
                <v:shape type="#_x0000_t75" stroked="f" style="width:14px; height:14px; margin-left:0px; margin-top:0px; mso-position-horizontal:left; mso-position-vertical:top; mso-position-horizontal-relative:char; mso-position-vertical-relative:line;">
                  <w10:wrap type="inline"/>
                  <v:imagedata r:id="rId7" o:title=""/>
                </v:shape>
              </w:pict>
            </w:r>
            <w:r>
              <w:rPr>
                <w:color w:val="102A43"/>
                <w:sz w:val="20"/>
                <w:szCs w:val="20"/>
                <w:b w:val="1"/>
                <w:bCs w:val="1"/>
              </w:rPr>
              <w:t xml:space="preserve">   Storage</w:t>
            </w:r>
          </w:p>
        </w:tc>
        <w:tc>
          <w:tcPr>
            <w:tcW w:w="2500" w:type="dxa"/>
            <w:vAlign w:val="center"/>
            <w:shd w:val="clear" w:fill="FFFFFF"/>
            <w:noWrap/>
          </w:tcPr>
          <w:p>
            <w:pPr>
              <w:spacing w:after="0"/>
            </w:pPr>
            <w:r>
              <w:rPr>
                <w:sz w:val="20"/>
                <w:szCs w:val="20"/>
              </w:rPr>
              <w:t xml:space="preserve">£1,220.00</w:t>
            </w:r>
          </w:p>
        </w:tc>
      </w:tr>
      <w:tr>
        <w:trPr>
          <w:trHeight w:val="400" w:hRule="atLeast"/>
        </w:trPr>
        <w:tc>
          <w:tcPr>
            <w:tcW w:w="6500" w:type="dxa"/>
            <w:vAlign w:val="center"/>
            <w:shd w:val="clear" w:fill="F3F6F8"/>
            <w:noWrap/>
          </w:tcPr>
          <w:p>
            <w:pPr>
              <w:spacing w:after="0"/>
            </w:pPr>
            <w:r>
              <w:pict>
                <v:shape type="#_x0000_t75" stroked="f" style="width:14px; height:14px; margin-left:0px; margin-top:0px; mso-position-horizontal:left; mso-position-vertical:top; mso-position-horizontal-relative:char; mso-position-vertical-relative:line;">
                  <w10:wrap type="inline"/>
                  <v:imagedata r:id="rId12" o:title=""/>
                </v:shape>
              </w:pict>
            </w:r>
            <w:r>
              <w:rPr>
                <w:color w:val="102A43"/>
                <w:sz w:val="20"/>
                <w:szCs w:val="20"/>
                <w:b w:val="1"/>
                <w:bCs w:val="1"/>
              </w:rPr>
              <w:t xml:space="preserve">   Log Analytics</w:t>
            </w:r>
          </w:p>
        </w:tc>
        <w:tc>
          <w:tcPr>
            <w:tcW w:w="2500" w:type="dxa"/>
            <w:vAlign w:val="center"/>
            <w:shd w:val="clear" w:fill="F3F6F8"/>
            <w:noWrap/>
          </w:tcPr>
          <w:p>
            <w:pPr>
              <w:spacing w:after="0"/>
            </w:pPr>
            <w:r>
              <w:rPr>
                <w:sz w:val="20"/>
                <w:szCs w:val="20"/>
              </w:rPr>
              <w:t xml:space="preserve">£980.00</w:t>
            </w:r>
          </w:p>
        </w:tc>
      </w:tr>
    </w:tbl>
    <w:p>
      <w:pPr>
        <w:spacing w:after="60"/>
      </w:pPr>
      <w:r>
        <w:rPr/>
        <w:t xml:space="preserve"/>
      </w:r>
    </w:p>
    <w:p>
      <w:pPr>
        <w:pStyle w:val="Heading3"/>
      </w:pPr>
      <w:bookmarkStart w:id="18" w:name="_Toc18"/>
      <w:r>
        <w:t>Current Top Subscriptions</w:t>
      </w:r>
      <w:bookmarkEnd w:id="18"/>
    </w:p>
    <w:tbl>
      <w:tblGrid>
        <w:gridCol w:w="6500" w:type="dxa"/>
        <w:gridCol w:w="25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6500" w:type="dxa"/>
            <w:vAlign w:val="center"/>
            <w:shd w:val="clear" w:fill="102A43"/>
            <w:noWrap/>
          </w:tcPr>
          <w:p>
            <w:pPr>
              <w:spacing w:after="0"/>
            </w:pPr>
            <w:r>
              <w:rPr>
                <w:rFonts w:ascii="Calibri" w:hAnsi="Calibri" w:eastAsia="Calibri" w:cs="Calibri"/>
                <w:color w:val="FFFFFF"/>
                <w:sz w:val="18"/>
                <w:szCs w:val="18"/>
                <w:b w:val="1"/>
                <w:bCs w:val="1"/>
              </w:rPr>
              <w:t xml:space="preserve">Subscription</w:t>
            </w:r>
          </w:p>
        </w:tc>
        <w:tc>
          <w:tcPr>
            <w:tcW w:w="2500" w:type="dxa"/>
            <w:vAlign w:val="center"/>
            <w:shd w:val="clear" w:fill="102A43"/>
            <w:noWrap/>
          </w:tcPr>
          <w:p>
            <w:pPr>
              <w:spacing w:after="0"/>
            </w:pPr>
            <w:r>
              <w:rPr>
                <w:rFonts w:ascii="Calibri" w:hAnsi="Calibri" w:eastAsia="Calibri" w:cs="Calibri"/>
                <w:color w:val="FFFFFF"/>
                <w:sz w:val="18"/>
                <w:szCs w:val="18"/>
                <w:b w:val="1"/>
                <w:bCs w:val="1"/>
              </w:rPr>
              <w:t xml:space="preserve">Current Cost</w:t>
            </w:r>
          </w:p>
        </w:tc>
      </w:tr>
      <w:tr>
        <w:trPr>
          <w:trHeight w:val="400" w:hRule="atLeast"/>
        </w:trPr>
        <w:tc>
          <w:tcPr>
            <w:tcW w:w="6500" w:type="dxa"/>
            <w:vAlign w:val="center"/>
            <w:shd w:val="clear" w:fill="FFFFFF"/>
            <w:noWrap/>
          </w:tcPr>
          <w:p>
            <w:pPr>
              <w:spacing w:after="0"/>
            </w:pPr>
            <w:r>
              <w:rPr>
                <w:color w:val="102A43"/>
                <w:sz w:val="20"/>
                <w:szCs w:val="20"/>
                <w:b w:val="1"/>
                <w:bCs w:val="1"/>
              </w:rPr>
              <w:t xml:space="preserve">Contoso-Prod-001</w:t>
            </w:r>
          </w:p>
        </w:tc>
        <w:tc>
          <w:tcPr>
            <w:tcW w:w="2500" w:type="dxa"/>
            <w:vAlign w:val="center"/>
            <w:shd w:val="clear" w:fill="FFFFFF"/>
            <w:noWrap/>
          </w:tcPr>
          <w:p>
            <w:pPr>
              <w:spacing w:after="0"/>
            </w:pPr>
            <w:r>
              <w:rPr>
                <w:sz w:val="20"/>
                <w:szCs w:val="20"/>
              </w:rPr>
              <w:t xml:space="preserve">£6,280.00</w:t>
            </w:r>
          </w:p>
        </w:tc>
      </w:tr>
      <w:tr>
        <w:trPr>
          <w:trHeight w:val="400" w:hRule="atLeast"/>
        </w:trPr>
        <w:tc>
          <w:tcPr>
            <w:tcW w:w="6500" w:type="dxa"/>
            <w:vAlign w:val="center"/>
            <w:shd w:val="clear" w:fill="F3F6F8"/>
            <w:noWrap/>
          </w:tcPr>
          <w:p>
            <w:pPr>
              <w:spacing w:after="0"/>
            </w:pPr>
            <w:r>
              <w:rPr>
                <w:color w:val="102A43"/>
                <w:sz w:val="20"/>
                <w:szCs w:val="20"/>
                <w:b w:val="1"/>
                <w:bCs w:val="1"/>
              </w:rPr>
              <w:t xml:space="preserve">Contoso-Connectivity</w:t>
            </w:r>
          </w:p>
        </w:tc>
        <w:tc>
          <w:tcPr>
            <w:tcW w:w="2500" w:type="dxa"/>
            <w:vAlign w:val="center"/>
            <w:shd w:val="clear" w:fill="F3F6F8"/>
            <w:noWrap/>
          </w:tcPr>
          <w:p>
            <w:pPr>
              <w:spacing w:after="0"/>
            </w:pPr>
            <w:r>
              <w:rPr>
                <w:sz w:val="20"/>
                <w:szCs w:val="20"/>
              </w:rPr>
              <w:t xml:space="preserve">£2,140.00</w:t>
            </w:r>
          </w:p>
        </w:tc>
      </w:tr>
      <w:tr>
        <w:trPr>
          <w:trHeight w:val="400" w:hRule="atLeast"/>
        </w:trPr>
        <w:tc>
          <w:tcPr>
            <w:tcW w:w="6500" w:type="dxa"/>
            <w:vAlign w:val="center"/>
            <w:shd w:val="clear" w:fill="FFFFFF"/>
            <w:noWrap/>
          </w:tcPr>
          <w:p>
            <w:pPr>
              <w:spacing w:after="0"/>
            </w:pPr>
            <w:r>
              <w:rPr>
                <w:color w:val="102A43"/>
                <w:sz w:val="20"/>
                <w:szCs w:val="20"/>
                <w:b w:val="1"/>
                <w:bCs w:val="1"/>
              </w:rPr>
              <w:t xml:space="preserve">Contoso-Management</w:t>
            </w:r>
          </w:p>
        </w:tc>
        <w:tc>
          <w:tcPr>
            <w:tcW w:w="2500" w:type="dxa"/>
            <w:vAlign w:val="center"/>
            <w:shd w:val="clear" w:fill="FFFFFF"/>
            <w:noWrap/>
          </w:tcPr>
          <w:p>
            <w:pPr>
              <w:spacing w:after="0"/>
            </w:pPr>
            <w:r>
              <w:rPr>
                <w:sz w:val="20"/>
                <w:szCs w:val="20"/>
              </w:rPr>
              <w:t xml:space="preserve">£1,000.00</w:t>
            </w:r>
          </w:p>
        </w:tc>
      </w:tr>
    </w:tbl>
    <w:p>
      <w:pPr>
        <w:spacing w:before="120" w:after="80"/>
      </w:pPr>
      <w:r>
        <w:rPr>
          <w:color w:val="52627A"/>
          <w:sz w:val="18"/>
          <w:szCs w:val="18"/>
          <w:i w:val="1"/>
          <w:iCs w:val="1"/>
        </w:rPr>
        <w:t xml:space="preserve">Cost data can be delayed or adjusted after collection. Native values use each subscription’s billing currency. A cost increase or decrease is contextual and is not, by itself, a Well-Architected finding.</w:t>
      </w:r>
    </w:p>
    <w:p>
      <w:pPr>
        <w:pStyle w:val="Heading1"/>
      </w:pPr>
      <w:bookmarkStart w:id="19" w:name="_Toc19"/>
      <w:r>
        <w:t>Domain Reviews</w:t>
      </w:r>
      <w:bookmarkEnd w:id="19"/>
    </w:p>
    <w:p>
      <w:pPr>
        <w:keepNext w:val="1"/>
        <w:spacing w:before="0" w:after="90"/>
        <w:pBdr>
          <w:bottom w:val="single" w:sz="8" w:color="007F95"/>
        </w:pBdr>
      </w:pPr>
      <w:r>
        <w:rPr>
          <w:sz w:val="8"/>
          <w:szCs w:val="8"/>
        </w:rPr>
        <w:t xml:space="preserve"/>
      </w:r>
    </w:p>
    <w:p>
      <w:pPr>
        <w:pStyle w:val="Heading2"/>
      </w:pPr>
      <w:bookmarkStart w:id="20" w:name="_Toc20"/>
      <w:r>
        <w:t>Reliability</w:t>
      </w:r>
      <w:bookmarkEnd w:id="20"/>
    </w:p>
    <w:tbl>
      <w:tblGrid>
        <w:gridCol w:w="3600" w:type="dxa"/>
        <w:gridCol w:w="2700" w:type="dxa"/>
        <w:gridCol w:w="2700" w:type="dxa"/>
      </w:tblGrid>
      <w:tblPr>
        <w:tblW w:w="9000" w:type="dxa"/>
        <w:tblInd w:w="240" w:type="dxa"/>
        <w:tblLayout w:type="fixed"/>
        <w:tblCellMar>
          <w:top w:w="220" w:type="dxa"/>
          <w:left w:w="240" w:type="dxa"/>
          <w:right w:w="240" w:type="dxa"/>
          <w:bottom w:w="220" w:type="dxa"/>
        </w:tblCellMar>
        <w:tblBorders>
          <w:top w:val="single" w:sz="0"/>
          <w:left w:val="single" w:sz="0"/>
          <w:right w:val="single" w:sz="0"/>
          <w:bottom w:val="single" w:sz="0"/>
          <w:insideH w:val="single" w:sz="0"/>
          <w:insideV w:val="single" w:sz="0"/>
        </w:tblBorders>
      </w:tblPr>
      <w:tr>
        <w:trPr>
          <w:cantSplit w:val="1"/>
        </w:trPr>
        <w:tc>
          <w:tcPr>
            <w:tcW w:w="3600" w:type="dxa"/>
            <w:vAlign w:val="center"/>
            <w:shd w:val="clear" w:fill="102A43"/>
            <w:noWrap/>
          </w:tcPr>
          <w:p>
            <w:pPr>
              <w:spacing w:after="50" w:line="240" w:lineRule="auto"/>
            </w:pPr>
            <w:r>
              <w:rPr>
                <w:color w:val="65DDD1"/>
                <w:sz w:val="94"/>
                <w:szCs w:val="94"/>
                <w:b w:val="1"/>
                <w:bCs w:val="1"/>
              </w:rPr>
              <w:t xml:space="preserve">72%</w:t>
            </w:r>
          </w:p>
          <w:p>
            <w:pPr>
              <w:spacing w:after="40"/>
            </w:pPr>
            <w:r>
              <w:rPr>
                <w:color w:val="FFFFFF"/>
                <w:sz w:val="20"/>
                <w:szCs w:val="20"/>
                <w:b w:val="1"/>
                <w:bCs w:val="1"/>
              </w:rPr>
              <w:t xml:space="preserve">Domain score</w:t>
            </w:r>
          </w:p>
          <w:p>
            <w:pPr>
              <w:spacing w:after="0"/>
            </w:pPr>
            <w:r>
              <w:rPr>
                <w:color w:val="C4D5E4"/>
                <w:sz w:val="16"/>
                <w:szCs w:val="16"/>
              </w:rPr>
              <w:t xml:space="preserve">Good posture</w:t>
            </w:r>
          </w:p>
        </w:tc>
        <w:tc>
          <w:tcPr>
            <w:tcW w:w="2700" w:type="dxa"/>
            <w:vAlign w:val="center"/>
            <w:shd w:val="clear" w:fill="102A43"/>
            <w:noWrap/>
          </w:tcPr>
          <w:p>
            <w:pPr>
              <w:spacing w:after="80" w:line="240" w:lineRule="auto"/>
            </w:pPr>
            <w:r>
              <w:rPr>
                <w:color w:val="FFFFFF"/>
                <w:sz w:val="58"/>
                <w:szCs w:val="58"/>
                <w:b w:val="1"/>
                <w:bCs w:val="1"/>
              </w:rPr>
              <w:t xml:space="preserve">0</w:t>
            </w:r>
          </w:p>
          <w:p>
            <w:pPr>
              <w:spacing w:after="40"/>
            </w:pPr>
            <w:r>
              <w:rPr>
                <w:color w:val="FFFFFF"/>
                <w:sz w:val="20"/>
                <w:szCs w:val="20"/>
                <w:b w:val="1"/>
                <w:bCs w:val="1"/>
              </w:rPr>
              <w:t xml:space="preserve">Priority findings</w:t>
            </w:r>
          </w:p>
          <w:p>
            <w:pPr>
              <w:spacing w:after="0"/>
            </w:pPr>
            <w:r>
              <w:rPr>
                <w:color w:val="C4D5E4"/>
                <w:sz w:val="16"/>
                <w:szCs w:val="16"/>
              </w:rPr>
              <w:t xml:space="preserve">0 critical + 0 high</w:t>
            </w:r>
          </w:p>
        </w:tc>
        <w:tc>
          <w:tcPr>
            <w:tcW w:w="2700" w:type="dxa"/>
            <w:vAlign w:val="center"/>
            <w:shd w:val="clear" w:fill="102A43"/>
            <w:noWrap/>
          </w:tcPr>
          <w:p>
            <w:pPr>
              <w:spacing w:after="80" w:line="240" w:lineRule="auto"/>
            </w:pPr>
            <w:r>
              <w:rPr>
                <w:color w:val="FFFFFF"/>
                <w:sz w:val="58"/>
                <w:szCs w:val="58"/>
                <w:b w:val="1"/>
                <w:bCs w:val="1"/>
              </w:rPr>
              <w:t xml:space="preserve">1</w:t>
            </w:r>
          </w:p>
          <w:p>
            <w:pPr>
              <w:spacing w:after="40"/>
            </w:pPr>
            <w:r>
              <w:rPr>
                <w:color w:val="FFFFFF"/>
                <w:sz w:val="20"/>
                <w:szCs w:val="20"/>
                <w:b w:val="1"/>
                <w:bCs w:val="1"/>
              </w:rPr>
              <w:t xml:space="preserve">Resource findings</w:t>
            </w:r>
          </w:p>
          <w:p>
            <w:pPr>
              <w:spacing w:after="0"/>
            </w:pPr>
            <w:r>
              <w:rPr>
                <w:color w:val="C4D5E4"/>
                <w:sz w:val="16"/>
                <w:szCs w:val="16"/>
              </w:rPr>
              <w:t xml:space="preserve">Across this domain</w:t>
            </w:r>
          </w:p>
        </w:tc>
      </w:tr>
    </w:tbl>
    <w:tbl>
      <w:tblGrid>
        <w:gridCol w:w="2100" w:type="dxa"/>
        <w:gridCol w:w="6900" w:type="dxa"/>
      </w:tblGrid>
      <w:tblPr>
        <w:tblW w:w="9000" w:type="dxa"/>
        <w:tblInd w:w="80" w:type="dxa"/>
        <w:tblLayout w:type="fixed"/>
        <w:tblCellMar>
          <w:top w:w="80" w:type="dxa"/>
          <w:left w:w="80" w:type="dxa"/>
          <w:right w:w="80" w:type="dxa"/>
          <w:bottom w:w="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40" w:hRule="atLeast"/>
        </w:trPr>
        <w:tc>
          <w:tcPr>
            <w:tcW w:w="2100" w:type="dxa"/>
            <w:vAlign w:val="center"/>
            <w:shd w:val="clear" w:fill="F3F6F8"/>
            <w:noWrap/>
          </w:tcPr>
          <w:p>
            <w:pPr>
              <w:spacing w:after="0"/>
            </w:pPr>
            <w:r>
              <w:rPr>
                <w:color w:val="102A43"/>
                <w:sz w:val="18"/>
                <w:szCs w:val="18"/>
                <w:b w:val="1"/>
                <w:bCs w:val="1"/>
              </w:rPr>
              <w:t xml:space="preserve">Score basis</w:t>
            </w:r>
          </w:p>
        </w:tc>
        <w:tc>
          <w:tcPr>
            <w:tcW w:w="6900" w:type="dxa"/>
            <w:vAlign w:val="center"/>
            <w:shd w:val="clear" w:fill="FFFFFF"/>
            <w:noWrap/>
          </w:tcPr>
          <w:p>
            <w:pPr>
              <w:spacing w:after="0"/>
            </w:pPr>
            <w:r>
              <w:rPr>
                <w:color w:val="52627A"/>
                <w:sz w:val="20"/>
                <w:szCs w:val="20"/>
              </w:rPr>
              <w:t xml:space="preserve">23 of 32 applicable evaluations passed</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Assessment scope</w:t>
            </w:r>
          </w:p>
        </w:tc>
        <w:tc>
          <w:tcPr>
            <w:tcW w:w="6900" w:type="dxa"/>
            <w:vAlign w:val="center"/>
            <w:shd w:val="clear" w:fill="FFFFFF"/>
            <w:noWrap/>
          </w:tcPr>
          <w:p>
            <w:pPr>
              <w:spacing w:after="0"/>
            </w:pPr>
            <w:r>
              <w:rPr>
                <w:color w:val="52627A"/>
                <w:sz w:val="20"/>
                <w:szCs w:val="20"/>
              </w:rPr>
              <w:t xml:space="preserve">0 resource evaluations across 0 applicable checks</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Finding mix</w:t>
            </w:r>
          </w:p>
        </w:tc>
        <w:tc>
          <w:tcPr>
            <w:tcW w:w="6900" w:type="dxa"/>
            <w:vAlign w:val="center"/>
            <w:shd w:val="clear" w:fill="FFFFFF"/>
            <w:noWrap/>
          </w:tcPr>
          <w:p>
            <w:pPr>
              <w:spacing w:after="0"/>
            </w:pPr>
            <w:r>
              <w:rPr>
                <w:color w:val="52627A"/>
                <w:sz w:val="20"/>
                <w:szCs w:val="20"/>
              </w:rPr>
              <w:t xml:space="preserve">0 critical, 0 high, 1 medium, 0 low</w:t>
            </w:r>
          </w:p>
        </w:tc>
      </w:tr>
    </w:tbl>
    <w:p>
      <w:pPr>
        <w:spacing w:after="80"/>
      </w:pPr>
      <w:r>
        <w:rPr/>
        <w:t xml:space="preserve"/>
      </w:r>
    </w:p>
    <w:p>
      <w:pPr>
        <w:pStyle w:val="Heading3"/>
      </w:pPr>
      <w:bookmarkStart w:id="21" w:name="_Toc21"/>
      <w:r>
        <w:t>Current Posture</w:t>
      </w:r>
      <w:bookmarkEnd w:id="21"/>
    </w:p>
    <w:p>
      <w:pPr>
        <w:spacing w:after="120"/>
      </w:pPr>
      <w:r>
        <w:rPr>
          <w:color w:val="102A43"/>
          <w:sz w:val="22"/>
          <w:szCs w:val="22"/>
        </w:rPr>
        <w:t xml:space="preserve">Reliability covers resiliency, availability, recovery, and operational continuity. A reliable Azure workload is designed around business requirements, resilient architecture, clear recovery objectives, and simple operational patterns. The current reviewed posture is Good, with 1 finding concentrated around Microsoft.Compute/virtual Machines. The dominant issue pattern in this domain is medium-severity control or configuration weakness, which should guide the next round of remediation work.</w:t>
      </w:r>
    </w:p>
    <w:p>
      <w:pPr>
        <w:pStyle w:val="Heading3"/>
      </w:pPr>
      <w:bookmarkStart w:id="22" w:name="_Toc22"/>
      <w:r>
        <w:t>Observation Summary</w:t>
      </w:r>
      <w:bookmarkEnd w:id="22"/>
    </w:p>
    <w:p>
      <w:pPr>
        <w:spacing w:after="120"/>
      </w:pPr>
      <w:r>
        <w:rPr>
          <w:rFonts w:ascii="Calibri" w:hAnsi="Calibri" w:eastAsia="Calibri" w:cs="Calibri"/>
          <w:sz w:val="22"/>
          <w:szCs w:val="22"/>
        </w:rPr>
        <w:t xml:space="preserve">The main issues in Reliability are concentrated around Microsoft.Compute/virtual Machines.</w:t>
      </w:r>
    </w:p>
    <w:p>
      <w:pPr>
        <w:pStyle w:val="Heading3"/>
      </w:pPr>
      <w:bookmarkStart w:id="23" w:name="_Toc23"/>
      <w:r>
        <w:t>Key Observations</w:t>
      </w:r>
      <w:bookmarkEnd w:id="23"/>
    </w:p>
    <w:p>
      <w:pPr>
        <w:spacing w:after="60"/>
        <w:numPr>
          <w:ilvl w:val="0"/>
          <w:numId w:val="7"/>
        </w:numPr>
      </w:pPr>
      <w:r>
        <w:rPr>
          <w:rFonts w:ascii="Calibri" w:hAnsi="Calibri" w:eastAsia="Calibri" w:cs="Calibri"/>
          <w:color w:val="102A43"/>
          <w:sz w:val="22"/>
          <w:szCs w:val="22"/>
        </w:rPr>
        <w:t xml:space="preserve">Reliability findings are currently concentrated below high severity, so remediation can be planned through normal improvement cycles.</w:t>
      </w:r>
    </w:p>
    <w:p>
      <w:pPr>
        <w:spacing w:after="60"/>
        <w:numPr>
          <w:ilvl w:val="0"/>
          <w:numId w:val="7"/>
        </w:numPr>
      </w:pPr>
      <w:r>
        <w:rPr>
          <w:rFonts w:ascii="Calibri" w:hAnsi="Calibri" w:eastAsia="Calibri" w:cs="Calibri"/>
          <w:color w:val="102A43"/>
          <w:sz w:val="22"/>
          <w:szCs w:val="22"/>
        </w:rPr>
        <w:t xml:space="preserve">The evidence is spread across 3 affected resources and 1 subscription, so remediation should be coordinated as an estate pattern rather than handled as isolated fixes.</w:t>
      </w:r>
    </w:p>
    <w:p>
      <w:pPr>
        <w:spacing w:after="60"/>
        <w:numPr>
          <w:ilvl w:val="0"/>
          <w:numId w:val="7"/>
        </w:numPr>
      </w:pPr>
      <w:r>
        <w:rPr>
          <w:rFonts w:ascii="Calibri" w:hAnsi="Calibri" w:eastAsia="Calibri" w:cs="Calibri"/>
          <w:color w:val="102A43"/>
          <w:sz w:val="22"/>
          <w:szCs w:val="22"/>
        </w:rPr>
        <w:t xml:space="preserve">The main service hotspots are Microsoft.Compute/virtual Machines, which should help route ownership to the right platform or workload teams.</w:t>
      </w:r>
    </w:p>
    <w:p>
      <w:pPr>
        <w:spacing w:after="60"/>
        <w:numPr>
          <w:ilvl w:val="0"/>
          <w:numId w:val="7"/>
        </w:numPr>
      </w:pPr>
      <w:r>
        <w:rPr>
          <w:rFonts w:ascii="Calibri" w:hAnsi="Calibri" w:eastAsia="Calibri" w:cs="Calibri"/>
          <w:color w:val="102A43"/>
          <w:sz w:val="22"/>
          <w:szCs w:val="22"/>
        </w:rPr>
        <w:t xml:space="preserve">The strongest signal is 'Virtual machines not protected by Azure Backup', which combines medium severity with 3 affected resources.</w:t>
      </w:r>
    </w:p>
    <w:p>
      <w:pPr>
        <w:spacing w:after="40"/>
      </w:pPr>
      <w:r>
        <w:rPr/>
        <w:t xml:space="preserve"/>
      </w:r>
    </w:p>
    <w:p>
      <w:pPr>
        <w:pStyle w:val="Heading3"/>
      </w:pPr>
      <w:bookmarkStart w:id="24" w:name="_Toc24"/>
      <w:r>
        <w:t>Observation Evidence</w:t>
      </w:r>
      <w:bookmarkEnd w:id="24"/>
    </w:p>
    <w:tbl>
      <w:tblGrid>
        <w:gridCol w:w="3300" w:type="dxa"/>
        <w:gridCol w:w="1100" w:type="dxa"/>
        <w:gridCol w:w="1700" w:type="dxa"/>
        <w:gridCol w:w="1600" w:type="dxa"/>
        <w:gridCol w:w="13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3300" w:type="dxa"/>
            <w:vAlign w:val="center"/>
            <w:shd w:val="clear" w:fill="102A43"/>
            <w:noWrap/>
          </w:tcPr>
          <w:p>
            <w:pPr>
              <w:spacing w:after="0"/>
            </w:pPr>
            <w:r>
              <w:rPr>
                <w:rFonts w:ascii="Calibri" w:hAnsi="Calibri" w:eastAsia="Calibri" w:cs="Calibri"/>
                <w:color w:val="FFFFFF"/>
                <w:sz w:val="18"/>
                <w:szCs w:val="18"/>
                <w:b w:val="1"/>
                <w:bCs w:val="1"/>
              </w:rPr>
              <w:t xml:space="preserve">Observation</w:t>
            </w:r>
          </w:p>
        </w:tc>
        <w:tc>
          <w:tcPr>
            <w:tcW w:w="1100" w:type="dxa"/>
            <w:vAlign w:val="center"/>
            <w:shd w:val="clear" w:fill="102A43"/>
            <w:noWrap/>
          </w:tcPr>
          <w:p>
            <w:pPr>
              <w:spacing w:after="0"/>
            </w:pPr>
            <w:r>
              <w:rPr>
                <w:rFonts w:ascii="Calibri" w:hAnsi="Calibri" w:eastAsia="Calibri" w:cs="Calibri"/>
                <w:color w:val="FFFFFF"/>
                <w:sz w:val="18"/>
                <w:szCs w:val="18"/>
                <w:b w:val="1"/>
                <w:bCs w:val="1"/>
              </w:rPr>
              <w:t xml:space="preserve">Severity</w:t>
            </w:r>
          </w:p>
        </w:tc>
        <w:tc>
          <w:tcPr>
            <w:tcW w:w="1700" w:type="dxa"/>
            <w:vAlign w:val="center"/>
            <w:shd w:val="clear" w:fill="102A43"/>
            <w:noWrap/>
          </w:tcPr>
          <w:p>
            <w:pPr>
              <w:spacing w:after="0"/>
            </w:pPr>
            <w:r>
              <w:rPr>
                <w:rFonts w:ascii="Calibri" w:hAnsi="Calibri" w:eastAsia="Calibri" w:cs="Calibri"/>
                <w:color w:val="FFFFFF"/>
                <w:sz w:val="18"/>
                <w:szCs w:val="18"/>
                <w:b w:val="1"/>
                <w:bCs w:val="1"/>
              </w:rPr>
              <w:t xml:space="preserve">Service</w:t>
            </w:r>
          </w:p>
        </w:tc>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Subscriptions</w:t>
            </w:r>
          </w:p>
        </w:tc>
        <w:tc>
          <w:tcPr>
            <w:tcW w:w="1300" w:type="dxa"/>
            <w:vAlign w:val="center"/>
            <w:shd w:val="clear" w:fill="102A43"/>
            <w:noWrap/>
          </w:tcPr>
          <w:p>
            <w:pPr>
              <w:spacing w:after="0"/>
            </w:pPr>
            <w:r>
              <w:rPr>
                <w:rFonts w:ascii="Calibri" w:hAnsi="Calibri" w:eastAsia="Calibri" w:cs="Calibri"/>
                <w:color w:val="FFFFFF"/>
                <w:sz w:val="18"/>
                <w:szCs w:val="18"/>
                <w:b w:val="1"/>
                <w:bCs w:val="1"/>
              </w:rPr>
              <w:t xml:space="preserve">Resources</w:t>
            </w:r>
          </w:p>
        </w:tc>
      </w:tr>
      <w:tr>
        <w:trPr>
          <w:cantSplit w:val="1"/>
        </w:trPr>
        <w:tc>
          <w:tcPr>
            <w:tcW w:w="3300" w:type="dxa"/>
            <w:vAlign w:val="center"/>
            <w:shd w:val="clear" w:fill="FFFFFF"/>
            <w:noWrap/>
          </w:tcPr>
          <w:p>
            <w:pPr>
              <w:spacing w:after="0"/>
            </w:pPr>
            <w:r>
              <w:rPr>
                <w:rFonts w:ascii="Calibri" w:hAnsi="Calibri" w:eastAsia="Calibri" w:cs="Calibri"/>
                <w:sz w:val="22"/>
                <w:szCs w:val="22"/>
              </w:rPr>
              <w:t xml:space="preserve">Virtual machines not protected by Azure Backup</w:t>
            </w:r>
          </w:p>
        </w:tc>
        <w:tc>
          <w:tcPr>
            <w:tcW w:w="1100" w:type="dxa"/>
            <w:vAlign w:val="center"/>
            <w:shd w:val="clear" w:fill="FBF3DC"/>
            <w:noWrap/>
          </w:tcPr>
          <w:p>
            <w:pPr>
              <w:spacing w:after="0"/>
            </w:pPr>
            <w:r>
              <w:rPr>
                <w:rFonts w:ascii="Calibri" w:hAnsi="Calibri" w:eastAsia="Calibri" w:cs="Calibri"/>
                <w:color w:val="806013"/>
                <w:sz w:val="22"/>
                <w:szCs w:val="22"/>
                <w:b w:val="1"/>
                <w:bCs w:val="1"/>
              </w:rPr>
              <w:t xml:space="preserve">Medium</w:t>
            </w:r>
          </w:p>
        </w:tc>
        <w:tc>
          <w:tcPr>
            <w:tcW w:w="1700" w:type="dxa"/>
            <w:vAlign w:val="center"/>
            <w:shd w:val="clear" w:fill="FFFFFF"/>
            <w:noWrap/>
          </w:tcPr>
          <w:p>
            <w:pPr>
              <w:spacing w:after="0"/>
            </w:pPr>
            <w:r>
              <w:pict>
                <v:shape type="#_x0000_t75" stroked="f" style="width:11px; height:11px; margin-left:0px; margin-top:0px; mso-position-horizontal:left; mso-position-vertical:top; mso-position-horizontal-relative:char; mso-position-vertical-relative:line;">
                  <w10:wrap type="inline"/>
                  <v:imagedata r:id="rId9" o:title=""/>
                </v:shape>
              </w:pict>
            </w:r>
            <w:r>
              <w:rPr>
                <w:rFonts w:ascii="Calibri" w:hAnsi="Calibri" w:eastAsia="Calibri" w:cs="Calibri"/>
                <w:sz w:val="22"/>
                <w:szCs w:val="22"/>
              </w:rPr>
              <w:t xml:space="preserve">   Microsoft.Compute/virtual Machines</w:t>
            </w:r>
          </w:p>
        </w:tc>
        <w:tc>
          <w:tcPr>
            <w:tcW w:w="1600" w:type="dxa"/>
            <w:vAlign w:val="center"/>
            <w:shd w:val="clear" w:fill="FFFFFF"/>
            <w:noWrap/>
          </w:tcPr>
          <w:p>
            <w:pPr>
              <w:jc w:val="center"/>
              <w:spacing w:after="0"/>
            </w:pPr>
            <w:r>
              <w:rPr>
                <w:rFonts w:ascii="Calibri" w:hAnsi="Calibri" w:eastAsia="Calibri" w:cs="Calibri"/>
                <w:sz w:val="22"/>
                <w:szCs w:val="22"/>
              </w:rPr>
              <w:t xml:space="preserve">1</w:t>
            </w:r>
          </w:p>
        </w:tc>
        <w:tc>
          <w:tcPr>
            <w:tcW w:w="1300" w:type="dxa"/>
            <w:vAlign w:val="center"/>
            <w:shd w:val="clear" w:fill="FFFFFF"/>
            <w:noWrap/>
          </w:tcPr>
          <w:p>
            <w:pPr>
              <w:jc w:val="center"/>
              <w:spacing w:after="0"/>
            </w:pPr>
            <w:r>
              <w:rPr>
                <w:rFonts w:ascii="Calibri" w:hAnsi="Calibri" w:eastAsia="Calibri" w:cs="Calibri"/>
                <w:sz w:val="22"/>
                <w:szCs w:val="22"/>
              </w:rPr>
              <w:t xml:space="preserve">3</w:t>
            </w:r>
          </w:p>
        </w:tc>
      </w:tr>
    </w:tbl>
    <w:p>
      <w:pPr>
        <w:spacing w:after="200"/>
      </w:pPr>
      <w:r>
        <w:rPr/>
        <w:t xml:space="preserve"/>
      </w:r>
    </w:p>
    <w:p>
      <w:r>
        <w:br w:type="page"/>
      </w:r>
    </w:p>
    <w:p>
      <w:pPr>
        <w:pStyle w:val="Heading2"/>
      </w:pPr>
      <w:bookmarkStart w:id="25" w:name="_Toc25"/>
      <w:r>
        <w:t>Security</w:t>
      </w:r>
      <w:bookmarkEnd w:id="25"/>
    </w:p>
    <w:tbl>
      <w:tblGrid>
        <w:gridCol w:w="3600" w:type="dxa"/>
        <w:gridCol w:w="2700" w:type="dxa"/>
        <w:gridCol w:w="2700" w:type="dxa"/>
      </w:tblGrid>
      <w:tblPr>
        <w:tblW w:w="9000" w:type="dxa"/>
        <w:tblInd w:w="240" w:type="dxa"/>
        <w:tblLayout w:type="fixed"/>
        <w:tblCellMar>
          <w:top w:w="220" w:type="dxa"/>
          <w:left w:w="240" w:type="dxa"/>
          <w:right w:w="240" w:type="dxa"/>
          <w:bottom w:w="220" w:type="dxa"/>
        </w:tblCellMar>
        <w:tblBorders>
          <w:top w:val="single" w:sz="0"/>
          <w:left w:val="single" w:sz="0"/>
          <w:right w:val="single" w:sz="0"/>
          <w:bottom w:val="single" w:sz="0"/>
          <w:insideH w:val="single" w:sz="0"/>
          <w:insideV w:val="single" w:sz="0"/>
        </w:tblBorders>
      </w:tblPr>
      <w:tr>
        <w:trPr>
          <w:cantSplit w:val="1"/>
        </w:trPr>
        <w:tc>
          <w:tcPr>
            <w:tcW w:w="3600" w:type="dxa"/>
            <w:vAlign w:val="center"/>
            <w:shd w:val="clear" w:fill="102A43"/>
            <w:noWrap/>
          </w:tcPr>
          <w:p>
            <w:pPr>
              <w:spacing w:after="50" w:line="240" w:lineRule="auto"/>
            </w:pPr>
            <w:r>
              <w:rPr>
                <w:color w:val="65DDD1"/>
                <w:sz w:val="94"/>
                <w:szCs w:val="94"/>
                <w:b w:val="1"/>
                <w:bCs w:val="1"/>
              </w:rPr>
              <w:t xml:space="preserve">67%</w:t>
            </w:r>
          </w:p>
          <w:p>
            <w:pPr>
              <w:spacing w:after="40"/>
            </w:pPr>
            <w:r>
              <w:rPr>
                <w:color w:val="FFFFFF"/>
                <w:sz w:val="20"/>
                <w:szCs w:val="20"/>
                <w:b w:val="1"/>
                <w:bCs w:val="1"/>
              </w:rPr>
              <w:t xml:space="preserve">Domain score</w:t>
            </w:r>
          </w:p>
          <w:p>
            <w:pPr>
              <w:spacing w:after="0"/>
            </w:pPr>
            <w:r>
              <w:rPr>
                <w:color w:val="C4D5E4"/>
                <w:sz w:val="16"/>
                <w:szCs w:val="16"/>
              </w:rPr>
              <w:t xml:space="preserve">Fair posture</w:t>
            </w:r>
          </w:p>
        </w:tc>
        <w:tc>
          <w:tcPr>
            <w:tcW w:w="2700" w:type="dxa"/>
            <w:vAlign w:val="center"/>
            <w:shd w:val="clear" w:fill="102A43"/>
            <w:noWrap/>
          </w:tcPr>
          <w:p>
            <w:pPr>
              <w:spacing w:after="80" w:line="240" w:lineRule="auto"/>
            </w:pPr>
            <w:r>
              <w:rPr>
                <w:color w:val="FFFFFF"/>
                <w:sz w:val="58"/>
                <w:szCs w:val="58"/>
                <w:b w:val="1"/>
                <w:bCs w:val="1"/>
              </w:rPr>
              <w:t xml:space="preserve">2</w:t>
            </w:r>
          </w:p>
          <w:p>
            <w:pPr>
              <w:spacing w:after="40"/>
            </w:pPr>
            <w:r>
              <w:rPr>
                <w:color w:val="FFFFFF"/>
                <w:sz w:val="20"/>
                <w:szCs w:val="20"/>
                <w:b w:val="1"/>
                <w:bCs w:val="1"/>
              </w:rPr>
              <w:t xml:space="preserve">Priority findings</w:t>
            </w:r>
          </w:p>
          <w:p>
            <w:pPr>
              <w:spacing w:after="0"/>
            </w:pPr>
            <w:r>
              <w:rPr>
                <w:color w:val="C4D5E4"/>
                <w:sz w:val="16"/>
                <w:szCs w:val="16"/>
              </w:rPr>
              <w:t xml:space="preserve">0 critical + 2 high</w:t>
            </w:r>
          </w:p>
        </w:tc>
        <w:tc>
          <w:tcPr>
            <w:tcW w:w="2700" w:type="dxa"/>
            <w:vAlign w:val="center"/>
            <w:shd w:val="clear" w:fill="102A43"/>
            <w:noWrap/>
          </w:tcPr>
          <w:p>
            <w:pPr>
              <w:spacing w:after="80" w:line="240" w:lineRule="auto"/>
            </w:pPr>
            <w:r>
              <w:rPr>
                <w:color w:val="FFFFFF"/>
                <w:sz w:val="58"/>
                <w:szCs w:val="58"/>
                <w:b w:val="1"/>
                <w:bCs w:val="1"/>
              </w:rPr>
              <w:t xml:space="preserve">2</w:t>
            </w:r>
          </w:p>
          <w:p>
            <w:pPr>
              <w:spacing w:after="40"/>
            </w:pPr>
            <w:r>
              <w:rPr>
                <w:color w:val="FFFFFF"/>
                <w:sz w:val="20"/>
                <w:szCs w:val="20"/>
                <w:b w:val="1"/>
                <w:bCs w:val="1"/>
              </w:rPr>
              <w:t xml:space="preserve">Resource findings</w:t>
            </w:r>
          </w:p>
          <w:p>
            <w:pPr>
              <w:spacing w:after="0"/>
            </w:pPr>
            <w:r>
              <w:rPr>
                <w:color w:val="C4D5E4"/>
                <w:sz w:val="16"/>
                <w:szCs w:val="16"/>
              </w:rPr>
              <w:t xml:space="preserve">Across this domain</w:t>
            </w:r>
          </w:p>
        </w:tc>
      </w:tr>
    </w:tbl>
    <w:tbl>
      <w:tblGrid>
        <w:gridCol w:w="2100" w:type="dxa"/>
        <w:gridCol w:w="6900" w:type="dxa"/>
      </w:tblGrid>
      <w:tblPr>
        <w:tblW w:w="9000" w:type="dxa"/>
        <w:tblInd w:w="80" w:type="dxa"/>
        <w:tblLayout w:type="fixed"/>
        <w:tblCellMar>
          <w:top w:w="80" w:type="dxa"/>
          <w:left w:w="80" w:type="dxa"/>
          <w:right w:w="80" w:type="dxa"/>
          <w:bottom w:w="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40" w:hRule="atLeast"/>
        </w:trPr>
        <w:tc>
          <w:tcPr>
            <w:tcW w:w="2100" w:type="dxa"/>
            <w:vAlign w:val="center"/>
            <w:shd w:val="clear" w:fill="F3F6F8"/>
            <w:noWrap/>
          </w:tcPr>
          <w:p>
            <w:pPr>
              <w:spacing w:after="0"/>
            </w:pPr>
            <w:r>
              <w:rPr>
                <w:color w:val="102A43"/>
                <w:sz w:val="18"/>
                <w:szCs w:val="18"/>
                <w:b w:val="1"/>
                <w:bCs w:val="1"/>
              </w:rPr>
              <w:t xml:space="preserve">Score basis</w:t>
            </w:r>
          </w:p>
        </w:tc>
        <w:tc>
          <w:tcPr>
            <w:tcW w:w="6900" w:type="dxa"/>
            <w:vAlign w:val="center"/>
            <w:shd w:val="clear" w:fill="FFFFFF"/>
            <w:noWrap/>
          </w:tcPr>
          <w:p>
            <w:pPr>
              <w:spacing w:after="0"/>
            </w:pPr>
            <w:r>
              <w:rPr>
                <w:color w:val="52627A"/>
                <w:sz w:val="20"/>
                <w:szCs w:val="20"/>
              </w:rPr>
              <w:t xml:space="preserve">31 of 46 applicable evaluations passed</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Assessment scope</w:t>
            </w:r>
          </w:p>
        </w:tc>
        <w:tc>
          <w:tcPr>
            <w:tcW w:w="6900" w:type="dxa"/>
            <w:vAlign w:val="center"/>
            <w:shd w:val="clear" w:fill="FFFFFF"/>
            <w:noWrap/>
          </w:tcPr>
          <w:p>
            <w:pPr>
              <w:spacing w:after="0"/>
            </w:pPr>
            <w:r>
              <w:rPr>
                <w:color w:val="52627A"/>
                <w:sz w:val="20"/>
                <w:szCs w:val="20"/>
              </w:rPr>
              <w:t xml:space="preserve">0 resource evaluations across 0 applicable checks</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Finding mix</w:t>
            </w:r>
          </w:p>
        </w:tc>
        <w:tc>
          <w:tcPr>
            <w:tcW w:w="6900" w:type="dxa"/>
            <w:vAlign w:val="center"/>
            <w:shd w:val="clear" w:fill="FFFFFF"/>
            <w:noWrap/>
          </w:tcPr>
          <w:p>
            <w:pPr>
              <w:spacing w:after="0"/>
            </w:pPr>
            <w:r>
              <w:rPr>
                <w:color w:val="52627A"/>
                <w:sz w:val="20"/>
                <w:szCs w:val="20"/>
              </w:rPr>
              <w:t xml:space="preserve">0 critical, 2 high, 0 medium, 0 low</w:t>
            </w:r>
          </w:p>
        </w:tc>
      </w:tr>
    </w:tbl>
    <w:p>
      <w:pPr>
        <w:spacing w:after="80"/>
      </w:pPr>
      <w:r>
        <w:rPr/>
        <w:t xml:space="preserve"/>
      </w:r>
    </w:p>
    <w:p>
      <w:pPr>
        <w:pStyle w:val="Heading3"/>
      </w:pPr>
      <w:bookmarkStart w:id="26" w:name="_Toc26"/>
      <w:r>
        <w:t>Current Posture</w:t>
      </w:r>
      <w:bookmarkEnd w:id="26"/>
    </w:p>
    <w:p>
      <w:pPr>
        <w:spacing w:after="120"/>
      </w:pPr>
      <w:r>
        <w:rPr>
          <w:color w:val="102A43"/>
          <w:sz w:val="22"/>
          <w:szCs w:val="22"/>
        </w:rPr>
        <w:t xml:space="preserve">Security covers data protection, threat detection, and mitigation. A secure Azure workload protects confidentiality, integrity, and availability through layered identity, network, platform, and data controls. The current reviewed posture is Fair, with 2 findings concentrated around Microsoft.Storage/storage Accounts, Microsoft.Key Vault/vaults. The dominant issue pattern in this domain is high-severity control or configuration weakness, which should guide the next round of remediation work.</w:t>
      </w:r>
    </w:p>
    <w:p>
      <w:pPr>
        <w:pStyle w:val="Heading3"/>
      </w:pPr>
      <w:bookmarkStart w:id="27" w:name="_Toc27"/>
      <w:r>
        <w:t>Observation Summary</w:t>
      </w:r>
      <w:bookmarkEnd w:id="27"/>
    </w:p>
    <w:p>
      <w:pPr>
        <w:spacing w:after="120"/>
      </w:pPr>
      <w:r>
        <w:rPr>
          <w:rFonts w:ascii="Calibri" w:hAnsi="Calibri" w:eastAsia="Calibri" w:cs="Calibri"/>
          <w:sz w:val="22"/>
          <w:szCs w:val="22"/>
        </w:rPr>
        <w:t xml:space="preserve">The main issues in Security are concentrated around Microsoft.Storage/storage Accounts, Microsoft.Key Vault/vaults.</w:t>
      </w:r>
    </w:p>
    <w:p>
      <w:pPr>
        <w:pStyle w:val="Heading3"/>
      </w:pPr>
      <w:bookmarkStart w:id="28" w:name="_Toc28"/>
      <w:r>
        <w:t>Key Observations</w:t>
      </w:r>
      <w:bookmarkEnd w:id="28"/>
    </w:p>
    <w:p>
      <w:pPr>
        <w:spacing w:after="60"/>
        <w:numPr>
          <w:ilvl w:val="0"/>
          <w:numId w:val="7"/>
        </w:numPr>
      </w:pPr>
      <w:r>
        <w:rPr>
          <w:rFonts w:ascii="Calibri" w:hAnsi="Calibri" w:eastAsia="Calibri" w:cs="Calibri"/>
          <w:color w:val="102A43"/>
          <w:sz w:val="22"/>
          <w:szCs w:val="22"/>
        </w:rPr>
        <w:t xml:space="preserve">Security contains 2 critical or high-severity patterns that should drive the first remediation conversations.</w:t>
      </w:r>
    </w:p>
    <w:p>
      <w:pPr>
        <w:spacing w:after="60"/>
        <w:numPr>
          <w:ilvl w:val="0"/>
          <w:numId w:val="7"/>
        </w:numPr>
      </w:pPr>
      <w:r>
        <w:rPr>
          <w:rFonts w:ascii="Calibri" w:hAnsi="Calibri" w:eastAsia="Calibri" w:cs="Calibri"/>
          <w:color w:val="102A43"/>
          <w:sz w:val="22"/>
          <w:szCs w:val="22"/>
        </w:rPr>
        <w:t xml:space="preserve">The evidence is spread across 5 affected resources and 1 subscription, so remediation should be coordinated as an estate pattern rather than handled as isolated fixes.</w:t>
      </w:r>
    </w:p>
    <w:p>
      <w:pPr>
        <w:spacing w:after="60"/>
        <w:numPr>
          <w:ilvl w:val="0"/>
          <w:numId w:val="7"/>
        </w:numPr>
      </w:pPr>
      <w:r>
        <w:rPr>
          <w:rFonts w:ascii="Calibri" w:hAnsi="Calibri" w:eastAsia="Calibri" w:cs="Calibri"/>
          <w:color w:val="102A43"/>
          <w:sz w:val="22"/>
          <w:szCs w:val="22"/>
        </w:rPr>
        <w:t xml:space="preserve">The main service hotspots are Microsoft.Storage/storage Accounts, Microsoft.Key Vault/vaults, which should help route ownership to the right platform or workload teams.</w:t>
      </w:r>
    </w:p>
    <w:p>
      <w:pPr>
        <w:spacing w:after="60"/>
        <w:numPr>
          <w:ilvl w:val="0"/>
          <w:numId w:val="7"/>
        </w:numPr>
      </w:pPr>
      <w:r>
        <w:rPr>
          <w:rFonts w:ascii="Calibri" w:hAnsi="Calibri" w:eastAsia="Calibri" w:cs="Calibri"/>
          <w:color w:val="102A43"/>
          <w:sz w:val="22"/>
          <w:szCs w:val="22"/>
        </w:rPr>
        <w:t xml:space="preserve">The strongest signal is 'Storage accounts allow public blob access', which combines high severity with 3 affected resources.</w:t>
      </w:r>
    </w:p>
    <w:p>
      <w:pPr>
        <w:spacing w:after="40"/>
      </w:pPr>
      <w:r>
        <w:rPr/>
        <w:t xml:space="preserve"/>
      </w:r>
    </w:p>
    <w:p>
      <w:pPr>
        <w:pStyle w:val="Heading3"/>
      </w:pPr>
      <w:bookmarkStart w:id="29" w:name="_Toc29"/>
      <w:r>
        <w:t>Observation Evidence</w:t>
      </w:r>
      <w:bookmarkEnd w:id="29"/>
    </w:p>
    <w:tbl>
      <w:tblGrid>
        <w:gridCol w:w="3300" w:type="dxa"/>
        <w:gridCol w:w="1100" w:type="dxa"/>
        <w:gridCol w:w="1700" w:type="dxa"/>
        <w:gridCol w:w="1600" w:type="dxa"/>
        <w:gridCol w:w="13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3300" w:type="dxa"/>
            <w:vAlign w:val="center"/>
            <w:shd w:val="clear" w:fill="102A43"/>
            <w:noWrap/>
          </w:tcPr>
          <w:p>
            <w:pPr>
              <w:spacing w:after="0"/>
            </w:pPr>
            <w:r>
              <w:rPr>
                <w:rFonts w:ascii="Calibri" w:hAnsi="Calibri" w:eastAsia="Calibri" w:cs="Calibri"/>
                <w:color w:val="FFFFFF"/>
                <w:sz w:val="18"/>
                <w:szCs w:val="18"/>
                <w:b w:val="1"/>
                <w:bCs w:val="1"/>
              </w:rPr>
              <w:t xml:space="preserve">Observation</w:t>
            </w:r>
          </w:p>
        </w:tc>
        <w:tc>
          <w:tcPr>
            <w:tcW w:w="1100" w:type="dxa"/>
            <w:vAlign w:val="center"/>
            <w:shd w:val="clear" w:fill="102A43"/>
            <w:noWrap/>
          </w:tcPr>
          <w:p>
            <w:pPr>
              <w:spacing w:after="0"/>
            </w:pPr>
            <w:r>
              <w:rPr>
                <w:rFonts w:ascii="Calibri" w:hAnsi="Calibri" w:eastAsia="Calibri" w:cs="Calibri"/>
                <w:color w:val="FFFFFF"/>
                <w:sz w:val="18"/>
                <w:szCs w:val="18"/>
                <w:b w:val="1"/>
                <w:bCs w:val="1"/>
              </w:rPr>
              <w:t xml:space="preserve">Severity</w:t>
            </w:r>
          </w:p>
        </w:tc>
        <w:tc>
          <w:tcPr>
            <w:tcW w:w="1700" w:type="dxa"/>
            <w:vAlign w:val="center"/>
            <w:shd w:val="clear" w:fill="102A43"/>
            <w:noWrap/>
          </w:tcPr>
          <w:p>
            <w:pPr>
              <w:spacing w:after="0"/>
            </w:pPr>
            <w:r>
              <w:rPr>
                <w:rFonts w:ascii="Calibri" w:hAnsi="Calibri" w:eastAsia="Calibri" w:cs="Calibri"/>
                <w:color w:val="FFFFFF"/>
                <w:sz w:val="18"/>
                <w:szCs w:val="18"/>
                <w:b w:val="1"/>
                <w:bCs w:val="1"/>
              </w:rPr>
              <w:t xml:space="preserve">Service</w:t>
            </w:r>
          </w:p>
        </w:tc>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Subscriptions</w:t>
            </w:r>
          </w:p>
        </w:tc>
        <w:tc>
          <w:tcPr>
            <w:tcW w:w="1300" w:type="dxa"/>
            <w:vAlign w:val="center"/>
            <w:shd w:val="clear" w:fill="102A43"/>
            <w:noWrap/>
          </w:tcPr>
          <w:p>
            <w:pPr>
              <w:spacing w:after="0"/>
            </w:pPr>
            <w:r>
              <w:rPr>
                <w:rFonts w:ascii="Calibri" w:hAnsi="Calibri" w:eastAsia="Calibri" w:cs="Calibri"/>
                <w:color w:val="FFFFFF"/>
                <w:sz w:val="18"/>
                <w:szCs w:val="18"/>
                <w:b w:val="1"/>
                <w:bCs w:val="1"/>
              </w:rPr>
              <w:t xml:space="preserve">Resources</w:t>
            </w:r>
          </w:p>
        </w:tc>
      </w:tr>
      <w:tr>
        <w:trPr>
          <w:cantSplit w:val="1"/>
        </w:trPr>
        <w:tc>
          <w:tcPr>
            <w:tcW w:w="3300" w:type="dxa"/>
            <w:vAlign w:val="center"/>
            <w:shd w:val="clear" w:fill="FFFFFF"/>
            <w:noWrap/>
          </w:tcPr>
          <w:p>
            <w:pPr>
              <w:spacing w:after="0"/>
            </w:pPr>
            <w:r>
              <w:rPr>
                <w:rFonts w:ascii="Calibri" w:hAnsi="Calibri" w:eastAsia="Calibri" w:cs="Calibri"/>
                <w:sz w:val="22"/>
                <w:szCs w:val="22"/>
              </w:rPr>
              <w:t xml:space="preserve">Storage accounts allow public blob access</w:t>
            </w:r>
          </w:p>
        </w:tc>
        <w:tc>
          <w:tcPr>
            <w:tcW w:w="1100" w:type="dxa"/>
            <w:vAlign w:val="center"/>
            <w:shd w:val="clear" w:fill="9A4D15"/>
            <w:noWrap/>
          </w:tcPr>
          <w:p>
            <w:pPr>
              <w:spacing w:after="0"/>
            </w:pPr>
            <w:r>
              <w:rPr>
                <w:rFonts w:ascii="Calibri" w:hAnsi="Calibri" w:eastAsia="Calibri" w:cs="Calibri"/>
                <w:color w:val="FFFFFF"/>
                <w:sz w:val="22"/>
                <w:szCs w:val="22"/>
                <w:b w:val="1"/>
                <w:bCs w:val="1"/>
              </w:rPr>
              <w:t xml:space="preserve">High</w:t>
            </w:r>
          </w:p>
        </w:tc>
        <w:tc>
          <w:tcPr>
            <w:tcW w:w="1700" w:type="dxa"/>
            <w:vAlign w:val="center"/>
            <w:shd w:val="clear" w:fill="FFFFFF"/>
            <w:noWrap/>
          </w:tcPr>
          <w:p>
            <w:pPr>
              <w:spacing w:after="0"/>
            </w:pPr>
            <w:r>
              <w:pict>
                <v:shape type="#_x0000_t75" stroked="f" style="width:11px; height:11px; margin-left:0px; margin-top:0px; mso-position-horizontal:left; mso-position-vertical:top; mso-position-horizontal-relative:char; mso-position-vertical-relative:line;">
                  <w10:wrap type="inline"/>
                  <v:imagedata r:id="rId7" o:title=""/>
                </v:shape>
              </w:pict>
            </w:r>
            <w:r>
              <w:rPr>
                <w:rFonts w:ascii="Calibri" w:hAnsi="Calibri" w:eastAsia="Calibri" w:cs="Calibri"/>
                <w:sz w:val="22"/>
                <w:szCs w:val="22"/>
              </w:rPr>
              <w:t xml:space="preserve">   Microsoft.Storage/storage Accounts</w:t>
            </w:r>
          </w:p>
        </w:tc>
        <w:tc>
          <w:tcPr>
            <w:tcW w:w="1600" w:type="dxa"/>
            <w:vAlign w:val="center"/>
            <w:shd w:val="clear" w:fill="FFFFFF"/>
            <w:noWrap/>
          </w:tcPr>
          <w:p>
            <w:pPr>
              <w:jc w:val="center"/>
              <w:spacing w:after="0"/>
            </w:pPr>
            <w:r>
              <w:rPr>
                <w:rFonts w:ascii="Calibri" w:hAnsi="Calibri" w:eastAsia="Calibri" w:cs="Calibri"/>
                <w:sz w:val="22"/>
                <w:szCs w:val="22"/>
              </w:rPr>
              <w:t xml:space="preserve">1</w:t>
            </w:r>
          </w:p>
        </w:tc>
        <w:tc>
          <w:tcPr>
            <w:tcW w:w="1300" w:type="dxa"/>
            <w:vAlign w:val="center"/>
            <w:shd w:val="clear" w:fill="FFFFFF"/>
            <w:noWrap/>
          </w:tcPr>
          <w:p>
            <w:pPr>
              <w:jc w:val="center"/>
              <w:spacing w:after="0"/>
            </w:pPr>
            <w:r>
              <w:rPr>
                <w:rFonts w:ascii="Calibri" w:hAnsi="Calibri" w:eastAsia="Calibri" w:cs="Calibri"/>
                <w:sz w:val="22"/>
                <w:szCs w:val="22"/>
              </w:rPr>
              <w:t xml:space="preserve">3</w:t>
            </w:r>
          </w:p>
        </w:tc>
      </w:tr>
      <w:tr>
        <w:trPr>
          <w:cantSplit w:val="1"/>
        </w:trPr>
        <w:tc>
          <w:tcPr>
            <w:tcW w:w="3300" w:type="dxa"/>
            <w:vAlign w:val="center"/>
            <w:shd w:val="clear" w:fill="F3F6F8"/>
            <w:noWrap/>
          </w:tcPr>
          <w:p>
            <w:pPr>
              <w:spacing w:after="0"/>
            </w:pPr>
            <w:r>
              <w:rPr>
                <w:rFonts w:ascii="Calibri" w:hAnsi="Calibri" w:eastAsia="Calibri" w:cs="Calibri"/>
                <w:sz w:val="22"/>
                <w:szCs w:val="22"/>
              </w:rPr>
              <w:t xml:space="preserve">Defender for Cloud not enabled for key vault workloads</w:t>
            </w:r>
          </w:p>
        </w:tc>
        <w:tc>
          <w:tcPr>
            <w:tcW w:w="1100" w:type="dxa"/>
            <w:vAlign w:val="center"/>
            <w:shd w:val="clear" w:fill="9A4D15"/>
            <w:noWrap/>
          </w:tcPr>
          <w:p>
            <w:pPr>
              <w:spacing w:after="0"/>
            </w:pPr>
            <w:r>
              <w:rPr>
                <w:rFonts w:ascii="Calibri" w:hAnsi="Calibri" w:eastAsia="Calibri" w:cs="Calibri"/>
                <w:color w:val="FFFFFF"/>
                <w:sz w:val="22"/>
                <w:szCs w:val="22"/>
                <w:b w:val="1"/>
                <w:bCs w:val="1"/>
              </w:rPr>
              <w:t xml:space="preserve">High</w:t>
            </w:r>
          </w:p>
        </w:tc>
        <w:tc>
          <w:tcPr>
            <w:tcW w:w="1700" w:type="dxa"/>
            <w:vAlign w:val="center"/>
            <w:shd w:val="clear" w:fill="F3F6F8"/>
            <w:noWrap/>
          </w:tcPr>
          <w:p>
            <w:pPr>
              <w:spacing w:after="0"/>
            </w:pPr>
            <w:r>
              <w:pict>
                <v:shape type="#_x0000_t75" stroked="f" style="width:11px; height:11px; margin-left:0px; margin-top:0px; mso-position-horizontal:left; mso-position-vertical:top; mso-position-horizontal-relative:char; mso-position-vertical-relative:line;">
                  <w10:wrap type="inline"/>
                  <v:imagedata r:id="rId8" o:title=""/>
                </v:shape>
              </w:pict>
            </w:r>
            <w:r>
              <w:rPr>
                <w:rFonts w:ascii="Calibri" w:hAnsi="Calibri" w:eastAsia="Calibri" w:cs="Calibri"/>
                <w:sz w:val="22"/>
                <w:szCs w:val="22"/>
              </w:rPr>
              <w:t xml:space="preserve">   Microsoft.Key Vault/vaults</w:t>
            </w:r>
          </w:p>
        </w:tc>
        <w:tc>
          <w:tcPr>
            <w:tcW w:w="1600" w:type="dxa"/>
            <w:vAlign w:val="center"/>
            <w:shd w:val="clear" w:fill="F3F6F8"/>
            <w:noWrap/>
          </w:tcPr>
          <w:p>
            <w:pPr>
              <w:jc w:val="center"/>
              <w:spacing w:after="0"/>
            </w:pPr>
            <w:r>
              <w:rPr>
                <w:rFonts w:ascii="Calibri" w:hAnsi="Calibri" w:eastAsia="Calibri" w:cs="Calibri"/>
                <w:sz w:val="22"/>
                <w:szCs w:val="22"/>
              </w:rPr>
              <w:t xml:space="preserve">1</w:t>
            </w:r>
          </w:p>
        </w:tc>
        <w:tc>
          <w:tcPr>
            <w:tcW w:w="1300" w:type="dxa"/>
            <w:vAlign w:val="center"/>
            <w:shd w:val="clear" w:fill="F3F6F8"/>
            <w:noWrap/>
          </w:tcPr>
          <w:p>
            <w:pPr>
              <w:jc w:val="center"/>
              <w:spacing w:after="0"/>
            </w:pPr>
            <w:r>
              <w:rPr>
                <w:rFonts w:ascii="Calibri" w:hAnsi="Calibri" w:eastAsia="Calibri" w:cs="Calibri"/>
                <w:sz w:val="22"/>
                <w:szCs w:val="22"/>
              </w:rPr>
              <w:t xml:space="preserve">2</w:t>
            </w:r>
          </w:p>
        </w:tc>
      </w:tr>
    </w:tbl>
    <w:p>
      <w:pPr>
        <w:spacing w:after="200"/>
      </w:pPr>
      <w:r>
        <w:rPr/>
        <w:t xml:space="preserve"/>
      </w:r>
    </w:p>
    <w:p>
      <w:r>
        <w:br w:type="page"/>
      </w:r>
    </w:p>
    <w:p>
      <w:pPr>
        <w:pStyle w:val="Heading2"/>
      </w:pPr>
      <w:bookmarkStart w:id="30" w:name="_Toc30"/>
      <w:r>
        <w:t>Cost Optimization</w:t>
      </w:r>
      <w:bookmarkEnd w:id="30"/>
    </w:p>
    <w:tbl>
      <w:tblGrid>
        <w:gridCol w:w="3600" w:type="dxa"/>
        <w:gridCol w:w="2700" w:type="dxa"/>
        <w:gridCol w:w="2700" w:type="dxa"/>
      </w:tblGrid>
      <w:tblPr>
        <w:tblW w:w="9000" w:type="dxa"/>
        <w:tblInd w:w="240" w:type="dxa"/>
        <w:tblLayout w:type="fixed"/>
        <w:tblCellMar>
          <w:top w:w="220" w:type="dxa"/>
          <w:left w:w="240" w:type="dxa"/>
          <w:right w:w="240" w:type="dxa"/>
          <w:bottom w:w="220" w:type="dxa"/>
        </w:tblCellMar>
        <w:tblBorders>
          <w:top w:val="single" w:sz="0"/>
          <w:left w:val="single" w:sz="0"/>
          <w:right w:val="single" w:sz="0"/>
          <w:bottom w:val="single" w:sz="0"/>
          <w:insideH w:val="single" w:sz="0"/>
          <w:insideV w:val="single" w:sz="0"/>
        </w:tblBorders>
      </w:tblPr>
      <w:tr>
        <w:trPr>
          <w:cantSplit w:val="1"/>
        </w:trPr>
        <w:tc>
          <w:tcPr>
            <w:tcW w:w="3600" w:type="dxa"/>
            <w:vAlign w:val="center"/>
            <w:shd w:val="clear" w:fill="102A43"/>
            <w:noWrap/>
          </w:tcPr>
          <w:p>
            <w:pPr>
              <w:spacing w:after="50" w:line="240" w:lineRule="auto"/>
            </w:pPr>
            <w:r>
              <w:rPr>
                <w:color w:val="65DDD1"/>
                <w:sz w:val="94"/>
                <w:szCs w:val="94"/>
                <w:b w:val="1"/>
                <w:bCs w:val="1"/>
              </w:rPr>
              <w:t xml:space="preserve">81%</w:t>
            </w:r>
          </w:p>
          <w:p>
            <w:pPr>
              <w:spacing w:after="40"/>
            </w:pPr>
            <w:r>
              <w:rPr>
                <w:color w:val="FFFFFF"/>
                <w:sz w:val="20"/>
                <w:szCs w:val="20"/>
                <w:b w:val="1"/>
                <w:bCs w:val="1"/>
              </w:rPr>
              <w:t xml:space="preserve">Domain score</w:t>
            </w:r>
          </w:p>
          <w:p>
            <w:pPr>
              <w:spacing w:after="0"/>
            </w:pPr>
            <w:r>
              <w:rPr>
                <w:color w:val="C4D5E4"/>
                <w:sz w:val="16"/>
                <w:szCs w:val="16"/>
              </w:rPr>
              <w:t xml:space="preserve">Good posture</w:t>
            </w:r>
          </w:p>
        </w:tc>
        <w:tc>
          <w:tcPr>
            <w:tcW w:w="2700" w:type="dxa"/>
            <w:vAlign w:val="center"/>
            <w:shd w:val="clear" w:fill="102A43"/>
            <w:noWrap/>
          </w:tcPr>
          <w:p>
            <w:pPr>
              <w:spacing w:after="80" w:line="240" w:lineRule="auto"/>
            </w:pPr>
            <w:r>
              <w:rPr>
                <w:color w:val="FFFFFF"/>
                <w:sz w:val="58"/>
                <w:szCs w:val="58"/>
                <w:b w:val="1"/>
                <w:bCs w:val="1"/>
              </w:rPr>
              <w:t xml:space="preserve">0</w:t>
            </w:r>
          </w:p>
          <w:p>
            <w:pPr>
              <w:spacing w:after="40"/>
            </w:pPr>
            <w:r>
              <w:rPr>
                <w:color w:val="FFFFFF"/>
                <w:sz w:val="20"/>
                <w:szCs w:val="20"/>
                <w:b w:val="1"/>
                <w:bCs w:val="1"/>
              </w:rPr>
              <w:t xml:space="preserve">Priority findings</w:t>
            </w:r>
          </w:p>
          <w:p>
            <w:pPr>
              <w:spacing w:after="0"/>
            </w:pPr>
            <w:r>
              <w:rPr>
                <w:color w:val="C4D5E4"/>
                <w:sz w:val="16"/>
                <w:szCs w:val="16"/>
              </w:rPr>
              <w:t xml:space="preserve">0 critical + 0 high</w:t>
            </w:r>
          </w:p>
        </w:tc>
        <w:tc>
          <w:tcPr>
            <w:tcW w:w="2700" w:type="dxa"/>
            <w:vAlign w:val="center"/>
            <w:shd w:val="clear" w:fill="102A43"/>
            <w:noWrap/>
          </w:tcPr>
          <w:p>
            <w:pPr>
              <w:spacing w:after="80" w:line="240" w:lineRule="auto"/>
            </w:pPr>
            <w:r>
              <w:rPr>
                <w:color w:val="FFFFFF"/>
                <w:sz w:val="58"/>
                <w:szCs w:val="58"/>
                <w:b w:val="1"/>
                <w:bCs w:val="1"/>
              </w:rPr>
              <w:t xml:space="preserve">0</w:t>
            </w:r>
          </w:p>
          <w:p>
            <w:pPr>
              <w:spacing w:after="40"/>
            </w:pPr>
            <w:r>
              <w:rPr>
                <w:color w:val="FFFFFF"/>
                <w:sz w:val="20"/>
                <w:szCs w:val="20"/>
                <w:b w:val="1"/>
                <w:bCs w:val="1"/>
              </w:rPr>
              <w:t xml:space="preserve">Resource findings</w:t>
            </w:r>
          </w:p>
          <w:p>
            <w:pPr>
              <w:spacing w:after="0"/>
            </w:pPr>
            <w:r>
              <w:rPr>
                <w:color w:val="C4D5E4"/>
                <w:sz w:val="16"/>
                <w:szCs w:val="16"/>
              </w:rPr>
              <w:t xml:space="preserve">Across this domain</w:t>
            </w:r>
          </w:p>
        </w:tc>
      </w:tr>
    </w:tbl>
    <w:tbl>
      <w:tblGrid>
        <w:gridCol w:w="2100" w:type="dxa"/>
        <w:gridCol w:w="6900" w:type="dxa"/>
      </w:tblGrid>
      <w:tblPr>
        <w:tblW w:w="9000" w:type="dxa"/>
        <w:tblInd w:w="80" w:type="dxa"/>
        <w:tblLayout w:type="fixed"/>
        <w:tblCellMar>
          <w:top w:w="80" w:type="dxa"/>
          <w:left w:w="80" w:type="dxa"/>
          <w:right w:w="80" w:type="dxa"/>
          <w:bottom w:w="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40" w:hRule="atLeast"/>
        </w:trPr>
        <w:tc>
          <w:tcPr>
            <w:tcW w:w="2100" w:type="dxa"/>
            <w:vAlign w:val="center"/>
            <w:shd w:val="clear" w:fill="F3F6F8"/>
            <w:noWrap/>
          </w:tcPr>
          <w:p>
            <w:pPr>
              <w:spacing w:after="0"/>
            </w:pPr>
            <w:r>
              <w:rPr>
                <w:color w:val="102A43"/>
                <w:sz w:val="18"/>
                <w:szCs w:val="18"/>
                <w:b w:val="1"/>
                <w:bCs w:val="1"/>
              </w:rPr>
              <w:t xml:space="preserve">Score basis</w:t>
            </w:r>
          </w:p>
        </w:tc>
        <w:tc>
          <w:tcPr>
            <w:tcW w:w="6900" w:type="dxa"/>
            <w:vAlign w:val="center"/>
            <w:shd w:val="clear" w:fill="FFFFFF"/>
            <w:noWrap/>
          </w:tcPr>
          <w:p>
            <w:pPr>
              <w:spacing w:after="0"/>
            </w:pPr>
            <w:r>
              <w:rPr>
                <w:color w:val="52627A"/>
                <w:sz w:val="20"/>
                <w:szCs w:val="20"/>
              </w:rPr>
              <w:t xml:space="preserve">17 of 21 applicable evaluations passed</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Assessment scope</w:t>
            </w:r>
          </w:p>
        </w:tc>
        <w:tc>
          <w:tcPr>
            <w:tcW w:w="6900" w:type="dxa"/>
            <w:vAlign w:val="center"/>
            <w:shd w:val="clear" w:fill="FFFFFF"/>
            <w:noWrap/>
          </w:tcPr>
          <w:p>
            <w:pPr>
              <w:spacing w:after="0"/>
            </w:pPr>
            <w:r>
              <w:rPr>
                <w:color w:val="52627A"/>
                <w:sz w:val="20"/>
                <w:szCs w:val="20"/>
              </w:rPr>
              <w:t xml:space="preserve">0 resource evaluations across 0 applicable checks</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Finding mix</w:t>
            </w:r>
          </w:p>
        </w:tc>
        <w:tc>
          <w:tcPr>
            <w:tcW w:w="6900" w:type="dxa"/>
            <w:vAlign w:val="center"/>
            <w:shd w:val="clear" w:fill="FFFFFF"/>
            <w:noWrap/>
          </w:tcPr>
          <w:p>
            <w:pPr>
              <w:spacing w:after="0"/>
            </w:pPr>
            <w:r>
              <w:rPr>
                <w:color w:val="52627A"/>
                <w:sz w:val="20"/>
                <w:szCs w:val="20"/>
              </w:rPr>
              <w:t xml:space="preserve">0 critical, 0 high, 0 medium, 0 low</w:t>
            </w:r>
          </w:p>
        </w:tc>
      </w:tr>
    </w:tbl>
    <w:p>
      <w:pPr>
        <w:spacing w:after="80"/>
      </w:pPr>
      <w:r>
        <w:rPr/>
        <w:t xml:space="preserve"/>
      </w:r>
    </w:p>
    <w:p>
      <w:pPr>
        <w:pStyle w:val="Heading3"/>
      </w:pPr>
      <w:bookmarkStart w:id="31" w:name="_Toc31"/>
      <w:r>
        <w:t>Current Posture</w:t>
      </w:r>
      <w:bookmarkEnd w:id="31"/>
    </w:p>
    <w:p>
      <w:pPr>
        <w:spacing w:after="120"/>
      </w:pPr>
      <w:r>
        <w:rPr>
          <w:color w:val="102A43"/>
          <w:sz w:val="22"/>
          <w:szCs w:val="22"/>
        </w:rPr>
        <w:t xml:space="preserve">Cost Optimization covers cost modeling, budgets, waste reduction, usage efficiency, and rate optimization. A cost-efficient Azure workload aligns spend with business value while actively removing unused or underutilized resources. No findings were recorded in this domain. The evaluated controls are meeting the assessed Azure Well-Architected criteria.</w:t>
      </w:r>
    </w:p>
    <w:p>
      <w:pPr>
        <w:spacing w:after="200"/>
      </w:pPr>
      <w:r>
        <w:rPr/>
        <w:t xml:space="preserve"/>
      </w:r>
    </w:p>
    <w:p>
      <w:r>
        <w:br w:type="page"/>
      </w:r>
    </w:p>
    <w:p>
      <w:pPr>
        <w:pStyle w:val="Heading2"/>
      </w:pPr>
      <w:bookmarkStart w:id="32" w:name="_Toc32"/>
      <w:r>
        <w:t>Operational Excellence</w:t>
      </w:r>
      <w:bookmarkEnd w:id="32"/>
    </w:p>
    <w:tbl>
      <w:tblGrid>
        <w:gridCol w:w="3600" w:type="dxa"/>
        <w:gridCol w:w="2700" w:type="dxa"/>
        <w:gridCol w:w="2700" w:type="dxa"/>
      </w:tblGrid>
      <w:tblPr>
        <w:tblW w:w="9000" w:type="dxa"/>
        <w:tblInd w:w="240" w:type="dxa"/>
        <w:tblLayout w:type="fixed"/>
        <w:tblCellMar>
          <w:top w:w="220" w:type="dxa"/>
          <w:left w:w="240" w:type="dxa"/>
          <w:right w:w="240" w:type="dxa"/>
          <w:bottom w:w="220" w:type="dxa"/>
        </w:tblCellMar>
        <w:tblBorders>
          <w:top w:val="single" w:sz="0"/>
          <w:left w:val="single" w:sz="0"/>
          <w:right w:val="single" w:sz="0"/>
          <w:bottom w:val="single" w:sz="0"/>
          <w:insideH w:val="single" w:sz="0"/>
          <w:insideV w:val="single" w:sz="0"/>
        </w:tblBorders>
      </w:tblPr>
      <w:tr>
        <w:trPr>
          <w:cantSplit w:val="1"/>
        </w:trPr>
        <w:tc>
          <w:tcPr>
            <w:tcW w:w="3600" w:type="dxa"/>
            <w:vAlign w:val="center"/>
            <w:shd w:val="clear" w:fill="102A43"/>
            <w:noWrap/>
          </w:tcPr>
          <w:p>
            <w:pPr>
              <w:spacing w:after="50" w:line="240" w:lineRule="auto"/>
            </w:pPr>
            <w:r>
              <w:rPr>
                <w:color w:val="65DDD1"/>
                <w:sz w:val="94"/>
                <w:szCs w:val="94"/>
                <w:b w:val="1"/>
                <w:bCs w:val="1"/>
              </w:rPr>
              <w:t xml:space="preserve">82%</w:t>
            </w:r>
          </w:p>
          <w:p>
            <w:pPr>
              <w:spacing w:after="40"/>
            </w:pPr>
            <w:r>
              <w:rPr>
                <w:color w:val="FFFFFF"/>
                <w:sz w:val="20"/>
                <w:szCs w:val="20"/>
                <w:b w:val="1"/>
                <w:bCs w:val="1"/>
              </w:rPr>
              <w:t xml:space="preserve">Domain score</w:t>
            </w:r>
          </w:p>
          <w:p>
            <w:pPr>
              <w:spacing w:after="0"/>
            </w:pPr>
            <w:r>
              <w:rPr>
                <w:color w:val="C4D5E4"/>
                <w:sz w:val="16"/>
                <w:szCs w:val="16"/>
              </w:rPr>
              <w:t xml:space="preserve">Good posture</w:t>
            </w:r>
          </w:p>
        </w:tc>
        <w:tc>
          <w:tcPr>
            <w:tcW w:w="2700" w:type="dxa"/>
            <w:vAlign w:val="center"/>
            <w:shd w:val="clear" w:fill="102A43"/>
            <w:noWrap/>
          </w:tcPr>
          <w:p>
            <w:pPr>
              <w:spacing w:after="80" w:line="240" w:lineRule="auto"/>
            </w:pPr>
            <w:r>
              <w:rPr>
                <w:color w:val="FFFFFF"/>
                <w:sz w:val="58"/>
                <w:szCs w:val="58"/>
                <w:b w:val="1"/>
                <w:bCs w:val="1"/>
              </w:rPr>
              <w:t xml:space="preserve">1</w:t>
            </w:r>
          </w:p>
          <w:p>
            <w:pPr>
              <w:spacing w:after="40"/>
            </w:pPr>
            <w:r>
              <w:rPr>
                <w:color w:val="FFFFFF"/>
                <w:sz w:val="20"/>
                <w:szCs w:val="20"/>
                <w:b w:val="1"/>
                <w:bCs w:val="1"/>
              </w:rPr>
              <w:t xml:space="preserve">Priority findings</w:t>
            </w:r>
          </w:p>
          <w:p>
            <w:pPr>
              <w:spacing w:after="0"/>
            </w:pPr>
            <w:r>
              <w:rPr>
                <w:color w:val="C4D5E4"/>
                <w:sz w:val="16"/>
                <w:szCs w:val="16"/>
              </w:rPr>
              <w:t xml:space="preserve">0 critical + 1 high</w:t>
            </w:r>
          </w:p>
        </w:tc>
        <w:tc>
          <w:tcPr>
            <w:tcW w:w="2700" w:type="dxa"/>
            <w:vAlign w:val="center"/>
            <w:shd w:val="clear" w:fill="102A43"/>
            <w:noWrap/>
          </w:tcPr>
          <w:p>
            <w:pPr>
              <w:spacing w:after="80" w:line="240" w:lineRule="auto"/>
            </w:pPr>
            <w:r>
              <w:rPr>
                <w:color w:val="FFFFFF"/>
                <w:sz w:val="58"/>
                <w:szCs w:val="58"/>
                <w:b w:val="1"/>
                <w:bCs w:val="1"/>
              </w:rPr>
              <w:t xml:space="preserve">2</w:t>
            </w:r>
          </w:p>
          <w:p>
            <w:pPr>
              <w:spacing w:after="40"/>
            </w:pPr>
            <w:r>
              <w:rPr>
                <w:color w:val="FFFFFF"/>
                <w:sz w:val="20"/>
                <w:szCs w:val="20"/>
                <w:b w:val="1"/>
                <w:bCs w:val="1"/>
              </w:rPr>
              <w:t xml:space="preserve">Resource findings</w:t>
            </w:r>
          </w:p>
          <w:p>
            <w:pPr>
              <w:spacing w:after="0"/>
            </w:pPr>
            <w:r>
              <w:rPr>
                <w:color w:val="C4D5E4"/>
                <w:sz w:val="16"/>
                <w:szCs w:val="16"/>
              </w:rPr>
              <w:t xml:space="preserve">Across this domain</w:t>
            </w:r>
          </w:p>
        </w:tc>
      </w:tr>
    </w:tbl>
    <w:tbl>
      <w:tblGrid>
        <w:gridCol w:w="2100" w:type="dxa"/>
        <w:gridCol w:w="6900" w:type="dxa"/>
      </w:tblGrid>
      <w:tblPr>
        <w:tblW w:w="9000" w:type="dxa"/>
        <w:tblInd w:w="80" w:type="dxa"/>
        <w:tblLayout w:type="fixed"/>
        <w:tblCellMar>
          <w:top w:w="80" w:type="dxa"/>
          <w:left w:w="80" w:type="dxa"/>
          <w:right w:w="80" w:type="dxa"/>
          <w:bottom w:w="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40" w:hRule="atLeast"/>
        </w:trPr>
        <w:tc>
          <w:tcPr>
            <w:tcW w:w="2100" w:type="dxa"/>
            <w:vAlign w:val="center"/>
            <w:shd w:val="clear" w:fill="F3F6F8"/>
            <w:noWrap/>
          </w:tcPr>
          <w:p>
            <w:pPr>
              <w:spacing w:after="0"/>
            </w:pPr>
            <w:r>
              <w:rPr>
                <w:color w:val="102A43"/>
                <w:sz w:val="18"/>
                <w:szCs w:val="18"/>
                <w:b w:val="1"/>
                <w:bCs w:val="1"/>
              </w:rPr>
              <w:t xml:space="preserve">Score basis</w:t>
            </w:r>
          </w:p>
        </w:tc>
        <w:tc>
          <w:tcPr>
            <w:tcW w:w="6900" w:type="dxa"/>
            <w:vAlign w:val="center"/>
            <w:shd w:val="clear" w:fill="FFFFFF"/>
            <w:noWrap/>
          </w:tcPr>
          <w:p>
            <w:pPr>
              <w:spacing w:after="0"/>
            </w:pPr>
            <w:r>
              <w:rPr>
                <w:color w:val="52627A"/>
                <w:sz w:val="20"/>
                <w:szCs w:val="20"/>
              </w:rPr>
              <w:t xml:space="preserve">28 of 34 applicable evaluations passed</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Assessment scope</w:t>
            </w:r>
          </w:p>
        </w:tc>
        <w:tc>
          <w:tcPr>
            <w:tcW w:w="6900" w:type="dxa"/>
            <w:vAlign w:val="center"/>
            <w:shd w:val="clear" w:fill="FFFFFF"/>
            <w:noWrap/>
          </w:tcPr>
          <w:p>
            <w:pPr>
              <w:spacing w:after="0"/>
            </w:pPr>
            <w:r>
              <w:rPr>
                <w:color w:val="52627A"/>
                <w:sz w:val="20"/>
                <w:szCs w:val="20"/>
              </w:rPr>
              <w:t xml:space="preserve">0 resource evaluations across 0 applicable checks</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Finding mix</w:t>
            </w:r>
          </w:p>
        </w:tc>
        <w:tc>
          <w:tcPr>
            <w:tcW w:w="6900" w:type="dxa"/>
            <w:vAlign w:val="center"/>
            <w:shd w:val="clear" w:fill="FFFFFF"/>
            <w:noWrap/>
          </w:tcPr>
          <w:p>
            <w:pPr>
              <w:spacing w:after="0"/>
            </w:pPr>
            <w:r>
              <w:rPr>
                <w:color w:val="52627A"/>
                <w:sz w:val="20"/>
                <w:szCs w:val="20"/>
              </w:rPr>
              <w:t xml:space="preserve">0 critical, 1 high, 1 medium, 0 low</w:t>
            </w:r>
          </w:p>
        </w:tc>
      </w:tr>
    </w:tbl>
    <w:p>
      <w:pPr>
        <w:spacing w:after="80"/>
      </w:pPr>
      <w:r>
        <w:rPr/>
        <w:t xml:space="preserve"/>
      </w:r>
    </w:p>
    <w:p>
      <w:pPr>
        <w:pStyle w:val="Heading3"/>
      </w:pPr>
      <w:bookmarkStart w:id="33" w:name="_Toc33"/>
      <w:r>
        <w:t>Current Posture</w:t>
      </w:r>
      <w:bookmarkEnd w:id="33"/>
    </w:p>
    <w:p>
      <w:pPr>
        <w:spacing w:after="120"/>
      </w:pPr>
      <w:r>
        <w:rPr>
          <w:color w:val="102A43"/>
          <w:sz w:val="22"/>
          <w:szCs w:val="22"/>
        </w:rPr>
        <w:t xml:space="preserve">Operational Excellence covers holistic observability, DevOps practices, deployment safety, standards, and day-two operations. An operationally excellent workload is monitored comprehensively and operated through repeatable, low-risk processes. The current reviewed posture is Good, with 2 findings concentrated around Microsoft.Authorization/policy Assignments, Microsoft.Network/network Security Groups. The dominant issue pattern in this domain is high-severity control or configuration weakness, which should guide the next round of remediation work.</w:t>
      </w:r>
    </w:p>
    <w:p>
      <w:pPr>
        <w:pStyle w:val="Heading3"/>
      </w:pPr>
      <w:bookmarkStart w:id="34" w:name="_Toc34"/>
      <w:r>
        <w:t>Observation Summary</w:t>
      </w:r>
      <w:bookmarkEnd w:id="34"/>
    </w:p>
    <w:p>
      <w:pPr>
        <w:spacing w:after="120"/>
      </w:pPr>
      <w:r>
        <w:rPr>
          <w:rFonts w:ascii="Calibri" w:hAnsi="Calibri" w:eastAsia="Calibri" w:cs="Calibri"/>
          <w:sz w:val="22"/>
          <w:szCs w:val="22"/>
        </w:rPr>
        <w:t xml:space="preserve">The main issues in Operational Excellence are concentrated around Microsoft.Authorization/policy Assignments, Microsoft.Network/network Security Groups.</w:t>
      </w:r>
    </w:p>
    <w:p>
      <w:pPr>
        <w:pStyle w:val="Heading3"/>
      </w:pPr>
      <w:bookmarkStart w:id="35" w:name="_Toc35"/>
      <w:r>
        <w:t>Key Observations</w:t>
      </w:r>
      <w:bookmarkEnd w:id="35"/>
    </w:p>
    <w:p>
      <w:pPr>
        <w:spacing w:after="60"/>
        <w:numPr>
          <w:ilvl w:val="0"/>
          <w:numId w:val="7"/>
        </w:numPr>
      </w:pPr>
      <w:r>
        <w:rPr>
          <w:rFonts w:ascii="Calibri" w:hAnsi="Calibri" w:eastAsia="Calibri" w:cs="Calibri"/>
          <w:color w:val="102A43"/>
          <w:sz w:val="22"/>
          <w:szCs w:val="22"/>
        </w:rPr>
        <w:t xml:space="preserve">Operational Excellence contains 1 critical or high-severity pattern that should drive the first remediation conversations.</w:t>
      </w:r>
    </w:p>
    <w:p>
      <w:pPr>
        <w:spacing w:after="60"/>
        <w:numPr>
          <w:ilvl w:val="0"/>
          <w:numId w:val="7"/>
        </w:numPr>
      </w:pPr>
      <w:r>
        <w:rPr>
          <w:rFonts w:ascii="Calibri" w:hAnsi="Calibri" w:eastAsia="Calibri" w:cs="Calibri"/>
          <w:color w:val="102A43"/>
          <w:sz w:val="22"/>
          <w:szCs w:val="22"/>
        </w:rPr>
        <w:t xml:space="preserve">The evidence is spread across 6 affected resources and 1 subscription, so remediation should be coordinated as an estate pattern rather than handled as isolated fixes.</w:t>
      </w:r>
    </w:p>
    <w:p>
      <w:pPr>
        <w:spacing w:after="60"/>
        <w:numPr>
          <w:ilvl w:val="0"/>
          <w:numId w:val="7"/>
        </w:numPr>
      </w:pPr>
      <w:r>
        <w:rPr>
          <w:rFonts w:ascii="Calibri" w:hAnsi="Calibri" w:eastAsia="Calibri" w:cs="Calibri"/>
          <w:color w:val="102A43"/>
          <w:sz w:val="22"/>
          <w:szCs w:val="22"/>
        </w:rPr>
        <w:t xml:space="preserve">The main service hotspots are Microsoft.Authorization/policy Assignments, Microsoft.Network/network Security Groups, which should help route ownership to the right platform or workload teams.</w:t>
      </w:r>
    </w:p>
    <w:p>
      <w:pPr>
        <w:spacing w:after="60"/>
        <w:numPr>
          <w:ilvl w:val="0"/>
          <w:numId w:val="7"/>
        </w:numPr>
      </w:pPr>
      <w:r>
        <w:rPr>
          <w:rFonts w:ascii="Calibri" w:hAnsi="Calibri" w:eastAsia="Calibri" w:cs="Calibri"/>
          <w:color w:val="102A43"/>
          <w:sz w:val="22"/>
          <w:szCs w:val="22"/>
        </w:rPr>
        <w:t xml:space="preserve">The strongest signal is 'Policy inheritance missing at management group scope', which combines high severity with 2 affected resources.</w:t>
      </w:r>
    </w:p>
    <w:p>
      <w:pPr>
        <w:spacing w:after="40"/>
      </w:pPr>
      <w:r>
        <w:rPr/>
        <w:t xml:space="preserve"/>
      </w:r>
    </w:p>
    <w:p>
      <w:pPr>
        <w:pStyle w:val="Heading3"/>
      </w:pPr>
      <w:bookmarkStart w:id="36" w:name="_Toc36"/>
      <w:r>
        <w:t>Observation Evidence</w:t>
      </w:r>
      <w:bookmarkEnd w:id="36"/>
    </w:p>
    <w:tbl>
      <w:tblGrid>
        <w:gridCol w:w="3300" w:type="dxa"/>
        <w:gridCol w:w="1100" w:type="dxa"/>
        <w:gridCol w:w="1700" w:type="dxa"/>
        <w:gridCol w:w="1600" w:type="dxa"/>
        <w:gridCol w:w="13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3300" w:type="dxa"/>
            <w:vAlign w:val="center"/>
            <w:shd w:val="clear" w:fill="102A43"/>
            <w:noWrap/>
          </w:tcPr>
          <w:p>
            <w:pPr>
              <w:spacing w:after="0"/>
            </w:pPr>
            <w:r>
              <w:rPr>
                <w:rFonts w:ascii="Calibri" w:hAnsi="Calibri" w:eastAsia="Calibri" w:cs="Calibri"/>
                <w:color w:val="FFFFFF"/>
                <w:sz w:val="18"/>
                <w:szCs w:val="18"/>
                <w:b w:val="1"/>
                <w:bCs w:val="1"/>
              </w:rPr>
              <w:t xml:space="preserve">Observation</w:t>
            </w:r>
          </w:p>
        </w:tc>
        <w:tc>
          <w:tcPr>
            <w:tcW w:w="1100" w:type="dxa"/>
            <w:vAlign w:val="center"/>
            <w:shd w:val="clear" w:fill="102A43"/>
            <w:noWrap/>
          </w:tcPr>
          <w:p>
            <w:pPr>
              <w:spacing w:after="0"/>
            </w:pPr>
            <w:r>
              <w:rPr>
                <w:rFonts w:ascii="Calibri" w:hAnsi="Calibri" w:eastAsia="Calibri" w:cs="Calibri"/>
                <w:color w:val="FFFFFF"/>
                <w:sz w:val="18"/>
                <w:szCs w:val="18"/>
                <w:b w:val="1"/>
                <w:bCs w:val="1"/>
              </w:rPr>
              <w:t xml:space="preserve">Severity</w:t>
            </w:r>
          </w:p>
        </w:tc>
        <w:tc>
          <w:tcPr>
            <w:tcW w:w="1700" w:type="dxa"/>
            <w:vAlign w:val="center"/>
            <w:shd w:val="clear" w:fill="102A43"/>
            <w:noWrap/>
          </w:tcPr>
          <w:p>
            <w:pPr>
              <w:spacing w:after="0"/>
            </w:pPr>
            <w:r>
              <w:rPr>
                <w:rFonts w:ascii="Calibri" w:hAnsi="Calibri" w:eastAsia="Calibri" w:cs="Calibri"/>
                <w:color w:val="FFFFFF"/>
                <w:sz w:val="18"/>
                <w:szCs w:val="18"/>
                <w:b w:val="1"/>
                <w:bCs w:val="1"/>
              </w:rPr>
              <w:t xml:space="preserve">Service</w:t>
            </w:r>
          </w:p>
        </w:tc>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Subscriptions</w:t>
            </w:r>
          </w:p>
        </w:tc>
        <w:tc>
          <w:tcPr>
            <w:tcW w:w="1300" w:type="dxa"/>
            <w:vAlign w:val="center"/>
            <w:shd w:val="clear" w:fill="102A43"/>
            <w:noWrap/>
          </w:tcPr>
          <w:p>
            <w:pPr>
              <w:spacing w:after="0"/>
            </w:pPr>
            <w:r>
              <w:rPr>
                <w:rFonts w:ascii="Calibri" w:hAnsi="Calibri" w:eastAsia="Calibri" w:cs="Calibri"/>
                <w:color w:val="FFFFFF"/>
                <w:sz w:val="18"/>
                <w:szCs w:val="18"/>
                <w:b w:val="1"/>
                <w:bCs w:val="1"/>
              </w:rPr>
              <w:t xml:space="preserve">Resources</w:t>
            </w:r>
          </w:p>
        </w:tc>
      </w:tr>
      <w:tr>
        <w:trPr>
          <w:cantSplit w:val="1"/>
        </w:trPr>
        <w:tc>
          <w:tcPr>
            <w:tcW w:w="3300" w:type="dxa"/>
            <w:vAlign w:val="center"/>
            <w:shd w:val="clear" w:fill="FFFFFF"/>
            <w:noWrap/>
          </w:tcPr>
          <w:p>
            <w:pPr>
              <w:spacing w:after="0"/>
            </w:pPr>
            <w:r>
              <w:rPr>
                <w:rFonts w:ascii="Calibri" w:hAnsi="Calibri" w:eastAsia="Calibri" w:cs="Calibri"/>
                <w:sz w:val="22"/>
                <w:szCs w:val="22"/>
              </w:rPr>
              <w:t xml:space="preserve">Policy inheritance missing at management group scope</w:t>
            </w:r>
          </w:p>
        </w:tc>
        <w:tc>
          <w:tcPr>
            <w:tcW w:w="1100" w:type="dxa"/>
            <w:vAlign w:val="center"/>
            <w:shd w:val="clear" w:fill="9A4D15"/>
            <w:noWrap/>
          </w:tcPr>
          <w:p>
            <w:pPr>
              <w:spacing w:after="0"/>
            </w:pPr>
            <w:r>
              <w:rPr>
                <w:rFonts w:ascii="Calibri" w:hAnsi="Calibri" w:eastAsia="Calibri" w:cs="Calibri"/>
                <w:color w:val="FFFFFF"/>
                <w:sz w:val="22"/>
                <w:szCs w:val="22"/>
                <w:b w:val="1"/>
                <w:bCs w:val="1"/>
              </w:rPr>
              <w:t xml:space="preserve">High</w:t>
            </w:r>
          </w:p>
        </w:tc>
        <w:tc>
          <w:tcPr>
            <w:tcW w:w="1700" w:type="dxa"/>
            <w:vAlign w:val="center"/>
            <w:shd w:val="clear" w:fill="FFFFFF"/>
            <w:noWrap/>
          </w:tcPr>
          <w:p>
            <w:pPr>
              <w:spacing w:after="0"/>
            </w:pPr>
            <w:r>
              <w:rPr>
                <w:rFonts w:ascii="Calibri" w:hAnsi="Calibri" w:eastAsia="Calibri" w:cs="Calibri"/>
                <w:sz w:val="22"/>
                <w:szCs w:val="22"/>
              </w:rPr>
              <w:t xml:space="preserve">Microsoft.Authorization/policy Assignments</w:t>
            </w:r>
          </w:p>
        </w:tc>
        <w:tc>
          <w:tcPr>
            <w:tcW w:w="1600" w:type="dxa"/>
            <w:vAlign w:val="center"/>
            <w:shd w:val="clear" w:fill="FFFFFF"/>
            <w:noWrap/>
          </w:tcPr>
          <w:p>
            <w:pPr>
              <w:jc w:val="center"/>
              <w:spacing w:after="0"/>
            </w:pPr>
            <w:r>
              <w:rPr>
                <w:rFonts w:ascii="Calibri" w:hAnsi="Calibri" w:eastAsia="Calibri" w:cs="Calibri"/>
                <w:sz w:val="22"/>
                <w:szCs w:val="22"/>
              </w:rPr>
              <w:t xml:space="preserve">1</w:t>
            </w:r>
          </w:p>
        </w:tc>
        <w:tc>
          <w:tcPr>
            <w:tcW w:w="1300" w:type="dxa"/>
            <w:vAlign w:val="center"/>
            <w:shd w:val="clear" w:fill="FFFFFF"/>
            <w:noWrap/>
          </w:tcPr>
          <w:p>
            <w:pPr>
              <w:jc w:val="center"/>
              <w:spacing w:after="0"/>
            </w:pPr>
            <w:r>
              <w:rPr>
                <w:rFonts w:ascii="Calibri" w:hAnsi="Calibri" w:eastAsia="Calibri" w:cs="Calibri"/>
                <w:sz w:val="22"/>
                <w:szCs w:val="22"/>
              </w:rPr>
              <w:t xml:space="preserve">2</w:t>
            </w:r>
          </w:p>
        </w:tc>
      </w:tr>
      <w:tr>
        <w:trPr>
          <w:cantSplit w:val="1"/>
        </w:trPr>
        <w:tc>
          <w:tcPr>
            <w:tcW w:w="3300" w:type="dxa"/>
            <w:vAlign w:val="center"/>
            <w:shd w:val="clear" w:fill="F3F6F8"/>
            <w:noWrap/>
          </w:tcPr>
          <w:p>
            <w:pPr>
              <w:spacing w:after="0"/>
            </w:pPr>
            <w:r>
              <w:rPr>
                <w:rFonts w:ascii="Calibri" w:hAnsi="Calibri" w:eastAsia="Calibri" w:cs="Calibri"/>
                <w:sz w:val="22"/>
                <w:szCs w:val="22"/>
              </w:rPr>
              <w:t xml:space="preserve">Network Security Groups missing flow log configuration</w:t>
            </w:r>
          </w:p>
        </w:tc>
        <w:tc>
          <w:tcPr>
            <w:tcW w:w="1100" w:type="dxa"/>
            <w:vAlign w:val="center"/>
            <w:shd w:val="clear" w:fill="FBF3DC"/>
            <w:noWrap/>
          </w:tcPr>
          <w:p>
            <w:pPr>
              <w:spacing w:after="0"/>
            </w:pPr>
            <w:r>
              <w:rPr>
                <w:rFonts w:ascii="Calibri" w:hAnsi="Calibri" w:eastAsia="Calibri" w:cs="Calibri"/>
                <w:color w:val="806013"/>
                <w:sz w:val="22"/>
                <w:szCs w:val="22"/>
                <w:b w:val="1"/>
                <w:bCs w:val="1"/>
              </w:rPr>
              <w:t xml:space="preserve">Medium</w:t>
            </w:r>
          </w:p>
        </w:tc>
        <w:tc>
          <w:tcPr>
            <w:tcW w:w="1700" w:type="dxa"/>
            <w:vAlign w:val="center"/>
            <w:shd w:val="clear" w:fill="F3F6F8"/>
            <w:noWrap/>
          </w:tcPr>
          <w:p>
            <w:pPr>
              <w:spacing w:after="0"/>
            </w:pPr>
            <w:r>
              <w:pict>
                <v:shape type="#_x0000_t75" stroked="f" style="width:11px; height:11px; margin-left:0px; margin-top:0px; mso-position-horizontal:left; mso-position-vertical:top; mso-position-horizontal-relative:char; mso-position-vertical-relative:line;">
                  <w10:wrap type="inline"/>
                  <v:imagedata r:id="rId10" o:title=""/>
                </v:shape>
              </w:pict>
            </w:r>
            <w:r>
              <w:rPr>
                <w:rFonts w:ascii="Calibri" w:hAnsi="Calibri" w:eastAsia="Calibri" w:cs="Calibri"/>
                <w:sz w:val="22"/>
                <w:szCs w:val="22"/>
              </w:rPr>
              <w:t xml:space="preserve">   Microsoft.Network/network Security Groups</w:t>
            </w:r>
          </w:p>
        </w:tc>
        <w:tc>
          <w:tcPr>
            <w:tcW w:w="1600" w:type="dxa"/>
            <w:vAlign w:val="center"/>
            <w:shd w:val="clear" w:fill="F3F6F8"/>
            <w:noWrap/>
          </w:tcPr>
          <w:p>
            <w:pPr>
              <w:jc w:val="center"/>
              <w:spacing w:after="0"/>
            </w:pPr>
            <w:r>
              <w:rPr>
                <w:rFonts w:ascii="Calibri" w:hAnsi="Calibri" w:eastAsia="Calibri" w:cs="Calibri"/>
                <w:sz w:val="22"/>
                <w:szCs w:val="22"/>
              </w:rPr>
              <w:t xml:space="preserve">1</w:t>
            </w:r>
          </w:p>
        </w:tc>
        <w:tc>
          <w:tcPr>
            <w:tcW w:w="1300" w:type="dxa"/>
            <w:vAlign w:val="center"/>
            <w:shd w:val="clear" w:fill="F3F6F8"/>
            <w:noWrap/>
          </w:tcPr>
          <w:p>
            <w:pPr>
              <w:jc w:val="center"/>
              <w:spacing w:after="0"/>
            </w:pPr>
            <w:r>
              <w:rPr>
                <w:rFonts w:ascii="Calibri" w:hAnsi="Calibri" w:eastAsia="Calibri" w:cs="Calibri"/>
                <w:sz w:val="22"/>
                <w:szCs w:val="22"/>
              </w:rPr>
              <w:t xml:space="preserve">4</w:t>
            </w:r>
          </w:p>
        </w:tc>
      </w:tr>
    </w:tbl>
    <w:p>
      <w:pPr>
        <w:spacing w:after="200"/>
      </w:pPr>
      <w:r>
        <w:rPr/>
        <w:t xml:space="preserve"/>
      </w:r>
    </w:p>
    <w:p>
      <w:r>
        <w:br w:type="page"/>
      </w:r>
    </w:p>
    <w:p>
      <w:pPr>
        <w:pStyle w:val="Heading2"/>
      </w:pPr>
      <w:bookmarkStart w:id="37" w:name="_Toc37"/>
      <w:r>
        <w:t>Performance Efficiency</w:t>
      </w:r>
      <w:bookmarkEnd w:id="37"/>
    </w:p>
    <w:tbl>
      <w:tblGrid>
        <w:gridCol w:w="3600" w:type="dxa"/>
        <w:gridCol w:w="2700" w:type="dxa"/>
        <w:gridCol w:w="2700" w:type="dxa"/>
      </w:tblGrid>
      <w:tblPr>
        <w:tblW w:w="9000" w:type="dxa"/>
        <w:tblInd w:w="240" w:type="dxa"/>
        <w:tblLayout w:type="fixed"/>
        <w:tblCellMar>
          <w:top w:w="220" w:type="dxa"/>
          <w:left w:w="240" w:type="dxa"/>
          <w:right w:w="240" w:type="dxa"/>
          <w:bottom w:w="220" w:type="dxa"/>
        </w:tblCellMar>
        <w:tblBorders>
          <w:top w:val="single" w:sz="0"/>
          <w:left w:val="single" w:sz="0"/>
          <w:right w:val="single" w:sz="0"/>
          <w:bottom w:val="single" w:sz="0"/>
          <w:insideH w:val="single" w:sz="0"/>
          <w:insideV w:val="single" w:sz="0"/>
        </w:tblBorders>
      </w:tblPr>
      <w:tr>
        <w:trPr>
          <w:cantSplit w:val="1"/>
        </w:trPr>
        <w:tc>
          <w:tcPr>
            <w:tcW w:w="3600" w:type="dxa"/>
            <w:vAlign w:val="center"/>
            <w:shd w:val="clear" w:fill="102A43"/>
            <w:noWrap/>
          </w:tcPr>
          <w:p>
            <w:pPr>
              <w:spacing w:after="50" w:line="240" w:lineRule="auto"/>
            </w:pPr>
            <w:r>
              <w:rPr>
                <w:color w:val="65DDD1"/>
                <w:sz w:val="94"/>
                <w:szCs w:val="94"/>
                <w:b w:val="1"/>
                <w:bCs w:val="1"/>
              </w:rPr>
              <w:t xml:space="preserve">76%</w:t>
            </w:r>
          </w:p>
          <w:p>
            <w:pPr>
              <w:spacing w:after="40"/>
            </w:pPr>
            <w:r>
              <w:rPr>
                <w:color w:val="FFFFFF"/>
                <w:sz w:val="20"/>
                <w:szCs w:val="20"/>
                <w:b w:val="1"/>
                <w:bCs w:val="1"/>
              </w:rPr>
              <w:t xml:space="preserve">Domain score</w:t>
            </w:r>
          </w:p>
          <w:p>
            <w:pPr>
              <w:spacing w:after="0"/>
            </w:pPr>
            <w:r>
              <w:rPr>
                <w:color w:val="C4D5E4"/>
                <w:sz w:val="16"/>
                <w:szCs w:val="16"/>
              </w:rPr>
              <w:t xml:space="preserve">Good posture</w:t>
            </w:r>
          </w:p>
        </w:tc>
        <w:tc>
          <w:tcPr>
            <w:tcW w:w="2700" w:type="dxa"/>
            <w:vAlign w:val="center"/>
            <w:shd w:val="clear" w:fill="102A43"/>
            <w:noWrap/>
          </w:tcPr>
          <w:p>
            <w:pPr>
              <w:spacing w:after="80" w:line="240" w:lineRule="auto"/>
            </w:pPr>
            <w:r>
              <w:rPr>
                <w:color w:val="FFFFFF"/>
                <w:sz w:val="58"/>
                <w:szCs w:val="58"/>
                <w:b w:val="1"/>
                <w:bCs w:val="1"/>
              </w:rPr>
              <w:t xml:space="preserve">0</w:t>
            </w:r>
          </w:p>
          <w:p>
            <w:pPr>
              <w:spacing w:after="40"/>
            </w:pPr>
            <w:r>
              <w:rPr>
                <w:color w:val="FFFFFF"/>
                <w:sz w:val="20"/>
                <w:szCs w:val="20"/>
                <w:b w:val="1"/>
                <w:bCs w:val="1"/>
              </w:rPr>
              <w:t xml:space="preserve">Priority findings</w:t>
            </w:r>
          </w:p>
          <w:p>
            <w:pPr>
              <w:spacing w:after="0"/>
            </w:pPr>
            <w:r>
              <w:rPr>
                <w:color w:val="C4D5E4"/>
                <w:sz w:val="16"/>
                <w:szCs w:val="16"/>
              </w:rPr>
              <w:t xml:space="preserve">0 critical + 0 high</w:t>
            </w:r>
          </w:p>
        </w:tc>
        <w:tc>
          <w:tcPr>
            <w:tcW w:w="2700" w:type="dxa"/>
            <w:vAlign w:val="center"/>
            <w:shd w:val="clear" w:fill="102A43"/>
            <w:noWrap/>
          </w:tcPr>
          <w:p>
            <w:pPr>
              <w:spacing w:after="80" w:line="240" w:lineRule="auto"/>
            </w:pPr>
            <w:r>
              <w:rPr>
                <w:color w:val="FFFFFF"/>
                <w:sz w:val="58"/>
                <w:szCs w:val="58"/>
                <w:b w:val="1"/>
                <w:bCs w:val="1"/>
              </w:rPr>
              <w:t xml:space="preserve">0</w:t>
            </w:r>
          </w:p>
          <w:p>
            <w:pPr>
              <w:spacing w:after="40"/>
            </w:pPr>
            <w:r>
              <w:rPr>
                <w:color w:val="FFFFFF"/>
                <w:sz w:val="20"/>
                <w:szCs w:val="20"/>
                <w:b w:val="1"/>
                <w:bCs w:val="1"/>
              </w:rPr>
              <w:t xml:space="preserve">Resource findings</w:t>
            </w:r>
          </w:p>
          <w:p>
            <w:pPr>
              <w:spacing w:after="0"/>
            </w:pPr>
            <w:r>
              <w:rPr>
                <w:color w:val="C4D5E4"/>
                <w:sz w:val="16"/>
                <w:szCs w:val="16"/>
              </w:rPr>
              <w:t xml:space="preserve">Across this domain</w:t>
            </w:r>
          </w:p>
        </w:tc>
      </w:tr>
    </w:tbl>
    <w:tbl>
      <w:tblGrid>
        <w:gridCol w:w="2100" w:type="dxa"/>
        <w:gridCol w:w="6900" w:type="dxa"/>
      </w:tblGrid>
      <w:tblPr>
        <w:tblW w:w="9000" w:type="dxa"/>
        <w:tblInd w:w="80" w:type="dxa"/>
        <w:tblLayout w:type="fixed"/>
        <w:tblCellMar>
          <w:top w:w="80" w:type="dxa"/>
          <w:left w:w="80" w:type="dxa"/>
          <w:right w:w="80" w:type="dxa"/>
          <w:bottom w:w="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40" w:hRule="atLeast"/>
        </w:trPr>
        <w:tc>
          <w:tcPr>
            <w:tcW w:w="2100" w:type="dxa"/>
            <w:vAlign w:val="center"/>
            <w:shd w:val="clear" w:fill="F3F6F8"/>
            <w:noWrap/>
          </w:tcPr>
          <w:p>
            <w:pPr>
              <w:spacing w:after="0"/>
            </w:pPr>
            <w:r>
              <w:rPr>
                <w:color w:val="102A43"/>
                <w:sz w:val="18"/>
                <w:szCs w:val="18"/>
                <w:b w:val="1"/>
                <w:bCs w:val="1"/>
              </w:rPr>
              <w:t xml:space="preserve">Score basis</w:t>
            </w:r>
          </w:p>
        </w:tc>
        <w:tc>
          <w:tcPr>
            <w:tcW w:w="6900" w:type="dxa"/>
            <w:vAlign w:val="center"/>
            <w:shd w:val="clear" w:fill="FFFFFF"/>
            <w:noWrap/>
          </w:tcPr>
          <w:p>
            <w:pPr>
              <w:spacing w:after="0"/>
            </w:pPr>
            <w:r>
              <w:rPr>
                <w:color w:val="52627A"/>
                <w:sz w:val="20"/>
                <w:szCs w:val="20"/>
              </w:rPr>
              <w:t xml:space="preserve">19 of 25 applicable evaluations passed</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Assessment scope</w:t>
            </w:r>
          </w:p>
        </w:tc>
        <w:tc>
          <w:tcPr>
            <w:tcW w:w="6900" w:type="dxa"/>
            <w:vAlign w:val="center"/>
            <w:shd w:val="clear" w:fill="FFFFFF"/>
            <w:noWrap/>
          </w:tcPr>
          <w:p>
            <w:pPr>
              <w:spacing w:after="0"/>
            </w:pPr>
            <w:r>
              <w:rPr>
                <w:color w:val="52627A"/>
                <w:sz w:val="20"/>
                <w:szCs w:val="20"/>
              </w:rPr>
              <w:t xml:space="preserve">0 resource evaluations across 0 applicable checks</w:t>
            </w:r>
          </w:p>
        </w:tc>
      </w:tr>
      <w:tr>
        <w:trPr>
          <w:trHeight w:val="340" w:hRule="atLeast"/>
        </w:trPr>
        <w:tc>
          <w:tcPr>
            <w:tcW w:w="2100" w:type="dxa"/>
            <w:vAlign w:val="center"/>
            <w:shd w:val="clear" w:fill="F3F6F8"/>
            <w:noWrap/>
          </w:tcPr>
          <w:p>
            <w:pPr>
              <w:spacing w:after="0"/>
            </w:pPr>
            <w:r>
              <w:rPr>
                <w:color w:val="102A43"/>
                <w:sz w:val="18"/>
                <w:szCs w:val="18"/>
                <w:b w:val="1"/>
                <w:bCs w:val="1"/>
              </w:rPr>
              <w:t xml:space="preserve">Finding mix</w:t>
            </w:r>
          </w:p>
        </w:tc>
        <w:tc>
          <w:tcPr>
            <w:tcW w:w="6900" w:type="dxa"/>
            <w:vAlign w:val="center"/>
            <w:shd w:val="clear" w:fill="FFFFFF"/>
            <w:noWrap/>
          </w:tcPr>
          <w:p>
            <w:pPr>
              <w:spacing w:after="0"/>
            </w:pPr>
            <w:r>
              <w:rPr>
                <w:color w:val="52627A"/>
                <w:sz w:val="20"/>
                <w:szCs w:val="20"/>
              </w:rPr>
              <w:t xml:space="preserve">0 critical, 0 high, 0 medium, 0 low</w:t>
            </w:r>
          </w:p>
        </w:tc>
      </w:tr>
    </w:tbl>
    <w:p>
      <w:pPr>
        <w:spacing w:after="80"/>
      </w:pPr>
      <w:r>
        <w:rPr/>
        <w:t xml:space="preserve"/>
      </w:r>
    </w:p>
    <w:p>
      <w:pPr>
        <w:pStyle w:val="Heading3"/>
      </w:pPr>
      <w:bookmarkStart w:id="38" w:name="_Toc38"/>
      <w:r>
        <w:t>Current Posture</w:t>
      </w:r>
      <w:bookmarkEnd w:id="38"/>
    </w:p>
    <w:p>
      <w:pPr>
        <w:spacing w:after="120"/>
      </w:pPr>
      <w:r>
        <w:rPr>
          <w:color w:val="102A43"/>
          <w:sz w:val="22"/>
          <w:szCs w:val="22"/>
        </w:rPr>
        <w:t xml:space="preserve">Performance Efficiency covers scalability, load testing, capacity management, and health monitoring. A performant Azure workload scales horizontally where appropriate, validates capacity early, and continuously monitors performance under demand. No findings were recorded in this domain. The evaluated controls are meeting the assessed Azure Well-Architected criteria.</w:t>
      </w:r>
    </w:p>
    <w:p>
      <w:pPr>
        <w:spacing w:after="200"/>
      </w:pPr>
      <w:r>
        <w:rPr/>
        <w:t xml:space="preserve"/>
      </w:r>
    </w:p>
    <w:p>
      <w:pPr>
        <w:pStyle w:val="Heading1"/>
      </w:pPr>
      <w:bookmarkStart w:id="39" w:name="_Toc39"/>
      <w:r>
        <w:t>Remediation Roadmap</w:t>
      </w:r>
      <w:bookmarkEnd w:id="39"/>
    </w:p>
    <w:p>
      <w:pPr>
        <w:keepNext w:val="1"/>
        <w:spacing w:before="0" w:after="90"/>
        <w:pBdr>
          <w:bottom w:val="single" w:sz="8" w:color="007F95"/>
        </w:pBdr>
      </w:pPr>
      <w:r>
        <w:rPr>
          <w:sz w:val="8"/>
          <w:szCs w:val="8"/>
        </w:rPr>
        <w:t xml:space="preserve"/>
      </w:r>
    </w:p>
    <w:p>
      <w:pPr>
        <w:spacing w:after="200"/>
      </w:pPr>
      <w:r>
        <w:rPr>
          <w:sz w:val="22"/>
          <w:szCs w:val="22"/>
        </w:rPr>
        <w:t xml:space="preserve">The remediation roadmap organises recommended actions into three phases based on priority. Each phase describes the target-state outcome to pursue, while implementation procedures remain in the application finding detail views.</w:t>
      </w:r>
    </w:p>
    <w:p>
      <w:pPr/>
      <w:r>
        <w:rPr>
          <w:sz w:val="22"/>
          <w:szCs w:val="22"/>
          <w:i w:val="1"/>
          <w:iCs w:val="1"/>
        </w:rPr>
        <w:t xml:space="preserve">No recommendations generated for this review.</w:t>
      </w:r>
    </w:p>
    <w:p>
      <w:pPr>
        <w:pStyle w:val="Heading1"/>
      </w:pPr>
      <w:bookmarkStart w:id="40" w:name="_Toc40"/>
      <w:r>
        <w:t>Detailed Findings Appendix</w:t>
      </w:r>
      <w:bookmarkEnd w:id="40"/>
    </w:p>
    <w:p>
      <w:pPr>
        <w:keepNext w:val="1"/>
        <w:spacing w:before="0" w:after="90"/>
        <w:pBdr>
          <w:bottom w:val="single" w:sz="8" w:color="007F95"/>
        </w:pBdr>
      </w:pPr>
      <w:r>
        <w:rPr>
          <w:sz w:val="8"/>
          <w:szCs w:val="8"/>
        </w:rPr>
        <w:t xml:space="preserve"/>
      </w:r>
    </w:p>
    <w:p>
      <w:pPr>
        <w:spacing w:after="160"/>
      </w:pPr>
      <w:r>
        <w:rPr>
          <w:sz w:val="22"/>
          <w:szCs w:val="22"/>
        </w:rPr>
        <w:t xml:space="preserve">This appendix provides full details for each resource-level finding identified during the assessment, including technical evidence, configuration details, affected resources, and remediation guidance. Entries are presented in a consistent format so each finding can be reviewed and acted on clearly.</w:t>
      </w:r>
    </w:p>
    <w:tbl>
      <w:tblGrid>
        <w:gridCol w:w="2250" w:type="dxa"/>
        <w:gridCol w:w="2250" w:type="dxa"/>
        <w:gridCol w:w="2250" w:type="dxa"/>
        <w:gridCol w:w="2250" w:type="dxa"/>
      </w:tblGrid>
      <w:tblPr>
        <w:tblW w:w="9000" w:type="dxa"/>
        <w:tblInd w:w="180" w:type="dxa"/>
        <w:tblLayout w:type="fixed"/>
        <w:tblCellMar>
          <w:top w:w="180" w:type="dxa"/>
          <w:left w:w="180" w:type="dxa"/>
          <w:right w:w="180" w:type="dxa"/>
          <w:bottom w:w="18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1040" w:hRule="atLeast"/>
          <w:cantSplit w:val="1"/>
        </w:trPr>
        <w:tc>
          <w:tcPr>
            <w:tcW w:w="2250" w:type="dxa"/>
            <w:vAlign w:val="center"/>
            <w:shd w:val="clear" w:fill="102A43"/>
            <w:noWrap/>
          </w:tcPr>
          <w:p>
            <w:pPr>
              <w:spacing w:after="60" w:line="240" w:lineRule="auto"/>
            </w:pPr>
            <w:r>
              <w:rPr>
                <w:color w:val="65DDD1"/>
                <w:sz w:val="46"/>
                <w:szCs w:val="46"/>
                <w:b w:val="1"/>
                <w:bCs w:val="1"/>
              </w:rPr>
              <w:t xml:space="preserve">5</w:t>
            </w:r>
          </w:p>
          <w:p>
            <w:pPr>
              <w:spacing w:after="35"/>
            </w:pPr>
            <w:r>
              <w:rPr>
                <w:color w:val="FFFFFF"/>
                <w:sz w:val="20"/>
                <w:szCs w:val="20"/>
                <w:b w:val="1"/>
                <w:bCs w:val="1"/>
              </w:rPr>
              <w:t xml:space="preserve">Resource findings</w:t>
            </w:r>
          </w:p>
          <w:p>
            <w:pPr>
              <w:spacing w:after="0"/>
            </w:pPr>
            <w:r>
              <w:rPr>
                <w:color w:val="C4D5E4"/>
                <w:sz w:val="16"/>
                <w:szCs w:val="16"/>
              </w:rPr>
              <w:t xml:space="preserve">Detailed entries in this appendix</w:t>
            </w:r>
          </w:p>
        </w:tc>
        <w:tc>
          <w:tcPr>
            <w:tcW w:w="2250" w:type="dxa"/>
            <w:vAlign w:val="center"/>
            <w:shd w:val="clear" w:fill="102A43"/>
            <w:noWrap/>
          </w:tcPr>
          <w:p>
            <w:pPr>
              <w:spacing w:after="60" w:line="240" w:lineRule="auto"/>
            </w:pPr>
            <w:r>
              <w:rPr>
                <w:color w:val="FFFFFF"/>
                <w:sz w:val="46"/>
                <w:szCs w:val="46"/>
                <w:b w:val="1"/>
                <w:bCs w:val="1"/>
              </w:rPr>
              <w:t xml:space="preserve">3</w:t>
            </w:r>
          </w:p>
          <w:p>
            <w:pPr>
              <w:spacing w:after="35"/>
            </w:pPr>
            <w:r>
              <w:rPr>
                <w:color w:val="FFFFFF"/>
                <w:sz w:val="20"/>
                <w:szCs w:val="20"/>
                <w:b w:val="1"/>
                <w:bCs w:val="1"/>
              </w:rPr>
              <w:t xml:space="preserve">Priority findings</w:t>
            </w:r>
          </w:p>
          <w:p>
            <w:pPr>
              <w:spacing w:after="0"/>
            </w:pPr>
            <w:r>
              <w:rPr>
                <w:color w:val="C4D5E4"/>
                <w:sz w:val="16"/>
                <w:szCs w:val="16"/>
              </w:rPr>
              <w:t xml:space="preserve">Critical and high severity</w:t>
            </w:r>
          </w:p>
        </w:tc>
        <w:tc>
          <w:tcPr>
            <w:tcW w:w="2250" w:type="dxa"/>
            <w:vAlign w:val="center"/>
            <w:shd w:val="clear" w:fill="102A43"/>
            <w:noWrap/>
          </w:tcPr>
          <w:p>
            <w:pPr>
              <w:spacing w:after="60" w:line="240" w:lineRule="auto"/>
            </w:pPr>
            <w:r>
              <w:rPr>
                <w:color w:val="FFFFFF"/>
                <w:sz w:val="46"/>
                <w:szCs w:val="46"/>
                <w:b w:val="1"/>
                <w:bCs w:val="1"/>
              </w:rPr>
              <w:t xml:space="preserve">5</w:t>
            </w:r>
          </w:p>
          <w:p>
            <w:pPr>
              <w:spacing w:after="35"/>
            </w:pPr>
            <w:r>
              <w:rPr>
                <w:color w:val="FFFFFF"/>
                <w:sz w:val="20"/>
                <w:szCs w:val="20"/>
                <w:b w:val="1"/>
                <w:bCs w:val="1"/>
              </w:rPr>
              <w:t xml:space="preserve">Services affected</w:t>
            </w:r>
          </w:p>
          <w:p>
            <w:pPr>
              <w:spacing w:after="0"/>
            </w:pPr>
            <w:r>
              <w:rPr>
                <w:color w:val="C4D5E4"/>
                <w:sz w:val="16"/>
                <w:szCs w:val="16"/>
              </w:rPr>
              <w:t xml:space="preserve">Distinct Azure services</w:t>
            </w:r>
          </w:p>
        </w:tc>
        <w:tc>
          <w:tcPr>
            <w:tcW w:w="2250" w:type="dxa"/>
            <w:vAlign w:val="center"/>
            <w:shd w:val="clear" w:fill="102A43"/>
            <w:noWrap/>
          </w:tcPr>
          <w:p>
            <w:pPr>
              <w:spacing w:after="60" w:line="240" w:lineRule="auto"/>
            </w:pPr>
            <w:r>
              <w:rPr>
                <w:color w:val="FFFFFF"/>
                <w:sz w:val="46"/>
                <w:szCs w:val="46"/>
                <w:b w:val="1"/>
                <w:bCs w:val="1"/>
              </w:rPr>
              <w:t xml:space="preserve">3</w:t>
            </w:r>
          </w:p>
          <w:p>
            <w:pPr>
              <w:spacing w:after="35"/>
            </w:pPr>
            <w:r>
              <w:rPr>
                <w:color w:val="FFFFFF"/>
                <w:sz w:val="20"/>
                <w:szCs w:val="20"/>
                <w:b w:val="1"/>
                <w:bCs w:val="1"/>
              </w:rPr>
              <w:t xml:space="preserve">Subscriptions</w:t>
            </w:r>
          </w:p>
          <w:p>
            <w:pPr>
              <w:spacing w:after="0"/>
            </w:pPr>
            <w:r>
              <w:rPr>
                <w:color w:val="C4D5E4"/>
                <w:sz w:val="16"/>
                <w:szCs w:val="16"/>
              </w:rPr>
              <w:t xml:space="preserve">Included in review scope</w:t>
            </w:r>
          </w:p>
        </w:tc>
      </w:tr>
    </w:tbl>
    <w:p>
      <w:pPr>
        <w:pStyle w:val="Heading3"/>
      </w:pPr>
      <w:bookmarkStart w:id="41" w:name="_Toc41"/>
      <w:r>
        <w:t>Severity Profile</w:t>
      </w:r>
      <w:bookmarkEnd w:id="41"/>
    </w:p>
    <w:tbl>
      <w:tblGrid>
        <w:gridCol w:w="2250" w:type="dxa"/>
        <w:gridCol w:w="2250" w:type="dxa"/>
        <w:gridCol w:w="2250" w:type="dxa"/>
        <w:gridCol w:w="225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500" w:hRule="atLeast"/>
          <w:cantSplit w:val="1"/>
        </w:trPr>
        <w:tc>
          <w:tcPr>
            <w:tcW w:w="2250" w:type="dxa"/>
            <w:vAlign w:val="center"/>
            <w:shd w:val="clear" w:fill="A42638"/>
            <w:noWrap/>
          </w:tcPr>
          <w:p>
            <w:pPr>
              <w:spacing w:after="30"/>
            </w:pPr>
            <w:r>
              <w:rPr>
                <w:color w:val="FFFFFF"/>
                <w:sz w:val="40"/>
                <w:szCs w:val="40"/>
                <w:b w:val="1"/>
                <w:bCs w:val="1"/>
              </w:rPr>
              <w:t xml:space="preserve">0</w:t>
            </w:r>
          </w:p>
          <w:p>
            <w:pPr>
              <w:spacing w:after="0"/>
            </w:pPr>
            <w:r>
              <w:rPr>
                <w:color w:val="FFFFFF"/>
                <w:sz w:val="18"/>
                <w:szCs w:val="18"/>
                <w:b w:val="1"/>
                <w:bCs w:val="1"/>
              </w:rPr>
              <w:t xml:space="preserve">Critical</w:t>
            </w:r>
          </w:p>
        </w:tc>
        <w:tc>
          <w:tcPr>
            <w:tcW w:w="2250" w:type="dxa"/>
            <w:vAlign w:val="center"/>
            <w:shd w:val="clear" w:fill="9A4D15"/>
            <w:noWrap/>
          </w:tcPr>
          <w:p>
            <w:pPr>
              <w:spacing w:after="30"/>
            </w:pPr>
            <w:r>
              <w:rPr>
                <w:color w:val="FFFFFF"/>
                <w:sz w:val="40"/>
                <w:szCs w:val="40"/>
                <w:b w:val="1"/>
                <w:bCs w:val="1"/>
              </w:rPr>
              <w:t xml:space="preserve">3</w:t>
            </w:r>
          </w:p>
          <w:p>
            <w:pPr>
              <w:spacing w:after="0"/>
            </w:pPr>
            <w:r>
              <w:rPr>
                <w:color w:val="FFFFFF"/>
                <w:sz w:val="18"/>
                <w:szCs w:val="18"/>
                <w:b w:val="1"/>
                <w:bCs w:val="1"/>
              </w:rPr>
              <w:t xml:space="preserve">High</w:t>
            </w:r>
          </w:p>
        </w:tc>
        <w:tc>
          <w:tcPr>
            <w:tcW w:w="2250" w:type="dxa"/>
            <w:vAlign w:val="center"/>
            <w:shd w:val="clear" w:fill="FBF3DC"/>
            <w:noWrap/>
          </w:tcPr>
          <w:p>
            <w:pPr>
              <w:spacing w:after="30"/>
            </w:pPr>
            <w:r>
              <w:rPr>
                <w:color w:val="806013"/>
                <w:sz w:val="40"/>
                <w:szCs w:val="40"/>
                <w:b w:val="1"/>
                <w:bCs w:val="1"/>
              </w:rPr>
              <w:t xml:space="preserve">2</w:t>
            </w:r>
          </w:p>
          <w:p>
            <w:pPr>
              <w:spacing w:after="0"/>
            </w:pPr>
            <w:r>
              <w:rPr>
                <w:color w:val="806013"/>
                <w:sz w:val="18"/>
                <w:szCs w:val="18"/>
                <w:b w:val="1"/>
                <w:bCs w:val="1"/>
              </w:rPr>
              <w:t xml:space="preserve">Medium</w:t>
            </w:r>
          </w:p>
        </w:tc>
        <w:tc>
          <w:tcPr>
            <w:tcW w:w="2250" w:type="dxa"/>
            <w:vAlign w:val="center"/>
            <w:shd w:val="clear" w:fill="E8F3ED"/>
            <w:noWrap/>
          </w:tcPr>
          <w:p>
            <w:pPr>
              <w:spacing w:after="30"/>
            </w:pPr>
            <w:r>
              <w:rPr>
                <w:color w:val="256451"/>
                <w:sz w:val="40"/>
                <w:szCs w:val="40"/>
                <w:b w:val="1"/>
                <w:bCs w:val="1"/>
              </w:rPr>
              <w:t xml:space="preserve">0</w:t>
            </w:r>
          </w:p>
          <w:p>
            <w:pPr>
              <w:spacing w:after="0"/>
            </w:pPr>
            <w:r>
              <w:rPr>
                <w:color w:val="256451"/>
                <w:sz w:val="18"/>
                <w:szCs w:val="18"/>
                <w:b w:val="1"/>
                <w:bCs w:val="1"/>
              </w:rPr>
              <w:t xml:space="preserve">Low</w:t>
            </w:r>
          </w:p>
        </w:tc>
      </w:tr>
    </w:tbl>
    <w:p>
      <w:pPr>
        <w:pStyle w:val="Heading3"/>
      </w:pPr>
      <w:bookmarkStart w:id="42" w:name="_Toc42"/>
      <w:r>
        <w:t>How To Use Each Entry</w:t>
      </w:r>
      <w:bookmarkEnd w:id="42"/>
    </w:p>
    <w:tbl>
      <w:tblGrid>
        <w:gridCol w:w="2250" w:type="dxa"/>
        <w:gridCol w:w="2250" w:type="dxa"/>
        <w:gridCol w:w="2250" w:type="dxa"/>
        <w:gridCol w:w="225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760" w:hRule="atLeast"/>
          <w:cantSplit w:val="1"/>
        </w:trPr>
        <w:tc>
          <w:tcPr>
            <w:tcW w:w="2250" w:type="dxa"/>
            <w:vAlign w:val="center"/>
            <w:shd w:val="clear" w:fill="F3F6F8"/>
            <w:noWrap/>
          </w:tcPr>
          <w:p>
            <w:pPr>
              <w:spacing w:after="35"/>
            </w:pPr>
            <w:r>
              <w:rPr>
                <w:color w:val="007F95"/>
                <w:sz w:val="32"/>
                <w:szCs w:val="32"/>
                <w:b w:val="1"/>
                <w:bCs w:val="1"/>
              </w:rPr>
              <w:t xml:space="preserve">01</w:t>
            </w:r>
          </w:p>
          <w:p>
            <w:pPr>
              <w:spacing w:after="25"/>
            </w:pPr>
            <w:r>
              <w:rPr>
                <w:color w:val="102A43"/>
                <w:sz w:val="20"/>
                <w:szCs w:val="20"/>
                <w:b w:val="1"/>
                <w:bCs w:val="1"/>
              </w:rPr>
              <w:t xml:space="preserve">Scope</w:t>
            </w:r>
          </w:p>
          <w:p>
            <w:pPr>
              <w:spacing w:after="0"/>
            </w:pPr>
            <w:r>
              <w:rPr>
                <w:color w:val="52627A"/>
                <w:sz w:val="16"/>
                <w:szCs w:val="16"/>
              </w:rPr>
              <w:t xml:space="preserve">Where the issue exists</w:t>
            </w:r>
          </w:p>
        </w:tc>
        <w:tc>
          <w:tcPr>
            <w:tcW w:w="2250" w:type="dxa"/>
            <w:vAlign w:val="center"/>
            <w:shd w:val="clear" w:fill="F3F6F8"/>
            <w:noWrap/>
          </w:tcPr>
          <w:p>
            <w:pPr>
              <w:spacing w:after="35"/>
            </w:pPr>
            <w:r>
              <w:rPr>
                <w:color w:val="007F95"/>
                <w:sz w:val="32"/>
                <w:szCs w:val="32"/>
                <w:b w:val="1"/>
                <w:bCs w:val="1"/>
              </w:rPr>
              <w:t xml:space="preserve">02</w:t>
            </w:r>
          </w:p>
          <w:p>
            <w:pPr>
              <w:spacing w:after="25"/>
            </w:pPr>
            <w:r>
              <w:rPr>
                <w:color w:val="102A43"/>
                <w:sz w:val="20"/>
                <w:szCs w:val="20"/>
                <w:b w:val="1"/>
                <w:bCs w:val="1"/>
              </w:rPr>
              <w:t xml:space="preserve">Resources</w:t>
            </w:r>
          </w:p>
          <w:p>
            <w:pPr>
              <w:spacing w:after="0"/>
            </w:pPr>
            <w:r>
              <w:rPr>
                <w:color w:val="52627A"/>
                <w:sz w:val="16"/>
                <w:szCs w:val="16"/>
              </w:rPr>
              <w:t xml:space="preserve">The affected Azure assets</w:t>
            </w:r>
          </w:p>
        </w:tc>
        <w:tc>
          <w:tcPr>
            <w:tcW w:w="2250" w:type="dxa"/>
            <w:vAlign w:val="center"/>
            <w:shd w:val="clear" w:fill="F3F6F8"/>
            <w:noWrap/>
          </w:tcPr>
          <w:p>
            <w:pPr>
              <w:spacing w:after="35"/>
            </w:pPr>
            <w:r>
              <w:rPr>
                <w:color w:val="007F95"/>
                <w:sz w:val="32"/>
                <w:szCs w:val="32"/>
                <w:b w:val="1"/>
                <w:bCs w:val="1"/>
              </w:rPr>
              <w:t xml:space="preserve">03</w:t>
            </w:r>
          </w:p>
          <w:p>
            <w:pPr>
              <w:spacing w:after="25"/>
            </w:pPr>
            <w:r>
              <w:rPr>
                <w:color w:val="102A43"/>
                <w:sz w:val="20"/>
                <w:szCs w:val="20"/>
                <w:b w:val="1"/>
                <w:bCs w:val="1"/>
              </w:rPr>
              <w:t xml:space="preserve">Impact</w:t>
            </w:r>
          </w:p>
          <w:p>
            <w:pPr>
              <w:spacing w:after="0"/>
            </w:pPr>
            <w:r>
              <w:rPr>
                <w:color w:val="52627A"/>
                <w:sz w:val="16"/>
                <w:szCs w:val="16"/>
              </w:rPr>
              <w:t xml:space="preserve">Why the finding matters</w:t>
            </w:r>
          </w:p>
        </w:tc>
        <w:tc>
          <w:tcPr>
            <w:tcW w:w="2250" w:type="dxa"/>
            <w:vAlign w:val="center"/>
            <w:shd w:val="clear" w:fill="F3F6F8"/>
            <w:noWrap/>
          </w:tcPr>
          <w:p>
            <w:pPr>
              <w:spacing w:after="35"/>
            </w:pPr>
            <w:r>
              <w:rPr>
                <w:color w:val="007F95"/>
                <w:sz w:val="32"/>
                <w:szCs w:val="32"/>
                <w:b w:val="1"/>
                <w:bCs w:val="1"/>
              </w:rPr>
              <w:t xml:space="preserve">04</w:t>
            </w:r>
          </w:p>
          <w:p>
            <w:pPr>
              <w:spacing w:after="25"/>
            </w:pPr>
            <w:r>
              <w:rPr>
                <w:color w:val="102A43"/>
                <w:sz w:val="20"/>
                <w:szCs w:val="20"/>
                <w:b w:val="1"/>
                <w:bCs w:val="1"/>
              </w:rPr>
              <w:t xml:space="preserve">Action</w:t>
            </w:r>
          </w:p>
          <w:p>
            <w:pPr>
              <w:spacing w:after="0"/>
            </w:pPr>
            <w:r>
              <w:rPr>
                <w:color w:val="52627A"/>
                <w:sz w:val="16"/>
                <w:szCs w:val="16"/>
              </w:rPr>
              <w:t xml:space="preserve">How to address the gap</w:t>
            </w:r>
          </w:p>
        </w:tc>
      </w:tr>
    </w:tbl>
    <w:p>
      <w:pPr>
        <w:spacing w:before="100" w:after="0"/>
      </w:pPr>
      <w:r>
        <w:rPr>
          <w:color w:val="52627A"/>
          <w:sz w:val="18"/>
          <w:szCs w:val="18"/>
          <w:i w:val="1"/>
          <w:iCs w:val="1"/>
        </w:rPr>
        <w:t xml:space="preserve">Use the finding number when assigning work or tracking remediation outside this report.</w:t>
      </w:r>
    </w:p>
    <w:p>
      <w:r>
        <w:br w:type="page"/>
      </w:r>
    </w:p>
    <w:p>
      <w:pPr>
        <w:keepNext w:val="1"/>
        <w:spacing w:before="220" w:after="40"/>
      </w:pPr>
      <w:r>
        <w:rPr>
          <w:sz w:val="4"/>
          <w:szCs w:val="4"/>
        </w:rPr>
        <w:t xml:space="preserve"/>
      </w:r>
    </w:p>
    <w:tbl>
      <w:tblGrid>
        <w:gridCol w:w="900" w:type="dxa"/>
        <w:gridCol w:w="6500" w:type="dxa"/>
        <w:gridCol w:w="1600" w:type="dxa"/>
      </w:tblGrid>
      <w:tblPr>
        <w:tblW w:w="9000" w:type="dxa"/>
        <w:tblInd w:w="150" w:type="dxa"/>
        <w:tblLayout w:type="fixed"/>
        <w:tblCellMar>
          <w:top w:w="150" w:type="dxa"/>
          <w:left w:w="150" w:type="dxa"/>
          <w:right w:w="150" w:type="dxa"/>
          <w:bottom w:w="15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cantSplit w:val="1"/>
        </w:trPr>
        <w:tc>
          <w:tcPr>
            <w:tcW w:w="900" w:type="dxa"/>
            <w:vAlign w:val="center"/>
            <w:shd w:val="clear" w:fill="102A43"/>
            <w:noWrap/>
          </w:tcPr>
          <w:p>
            <w:pPr>
              <w:keepNext w:val="1"/>
              <w:jc w:val="center"/>
              <w:spacing w:after="20"/>
            </w:pPr>
            <w:r>
              <w:rPr>
                <w:color w:val="65DDD1"/>
                <w:sz w:val="26"/>
                <w:szCs w:val="26"/>
                <w:b w:val="1"/>
                <w:bCs w:val="1"/>
              </w:rPr>
              <w:t xml:space="preserve">F01</w:t>
            </w:r>
          </w:p>
          <w:p>
            <w:pPr>
              <w:keepNext w:val="1"/>
              <w:jc w:val="center"/>
              <w:spacing w:after="0"/>
            </w:pPr>
            <w:r>
              <w:rPr>
                <w:color w:val="C4D5E4"/>
                <w:sz w:val="14"/>
                <w:szCs w:val="14"/>
                <w:b w:val="1"/>
                <w:bCs w:val="1"/>
              </w:rPr>
              <w:t xml:space="preserve">FINDING</w:t>
            </w:r>
          </w:p>
        </w:tc>
        <w:tc>
          <w:tcPr>
            <w:tcW w:w="6500" w:type="dxa"/>
            <w:vAlign w:val="center"/>
            <w:shd w:val="clear" w:fill="102A43"/>
            <w:noWrap/>
          </w:tcPr>
          <w:p>
            <w:pPr>
              <w:keepNext w:val="1"/>
              <w:spacing w:after="45"/>
            </w:pPr>
            <w:r>
              <w:rPr>
                <w:color w:val="FFFFFF"/>
                <w:sz w:val="22"/>
                <w:szCs w:val="22"/>
                <w:b w:val="1"/>
                <w:bCs w:val="1"/>
              </w:rPr>
              <w:t xml:space="preserve">Policy inheritance missing at management group scope</w:t>
            </w:r>
          </w:p>
          <w:p>
            <w:pPr>
              <w:keepNext w:val="1"/>
              <w:spacing w:after="0"/>
            </w:pPr>
            <w:r>
              <w:rPr>
                <w:color w:val="C4D5E4"/>
                <w:sz w:val="16"/>
                <w:szCs w:val="16"/>
              </w:rPr>
              <w:t xml:space="preserve">Operational Excellence  /  Microsoft.Authorization/policy Assignments</w:t>
            </w:r>
          </w:p>
        </w:tc>
        <w:tc>
          <w:tcPr>
            <w:tcW w:w="1600" w:type="dxa"/>
            <w:vAlign w:val="center"/>
            <w:shd w:val="clear" w:fill="9A4D15"/>
            <w:noWrap/>
          </w:tcPr>
          <w:p>
            <w:pPr>
              <w:keepNext w:val="1"/>
              <w:jc w:val="center"/>
              <w:spacing w:after="35"/>
            </w:pPr>
            <w:r>
              <w:rPr>
                <w:color w:val="FFFFFF"/>
                <w:sz w:val="20"/>
                <w:szCs w:val="20"/>
                <w:b w:val="1"/>
                <w:bCs w:val="1"/>
              </w:rPr>
              <w:t xml:space="preserve">HIGH</w:t>
            </w:r>
          </w:p>
          <w:p>
            <w:pPr>
              <w:keepNext w:val="1"/>
              <w:jc w:val="center"/>
              <w:spacing w:after="0"/>
            </w:pPr>
            <w:r>
              <w:rPr>
                <w:color w:val="FFFFFF"/>
                <w:sz w:val="16"/>
                <w:szCs w:val="16"/>
                <w:b w:val="1"/>
                <w:bCs w:val="1"/>
              </w:rPr>
              <w:t xml:space="preserve">1</w:t>
            </w:r>
          </w:p>
        </w:tc>
      </w:tr>
    </w:tbl>
    <w:p>
      <w:pPr>
        <w:pStyle w:val="ReportLabel"/>
      </w:pPr>
      <w:r>
        <w:rPr/>
        <w:t xml:space="preserve">Impact Scope</w:t>
      </w:r>
    </w:p>
    <w:p>
      <w:pPr>
        <w:spacing w:after="120"/>
      </w:pPr>
      <w:r>
        <w:rPr>
          <w:color w:val="102A43"/>
          <w:sz w:val="22"/>
          <w:szCs w:val="22"/>
        </w:rPr>
        <w:t xml:space="preserve">2 resources | 1 subscription | 1 resource group</w:t>
      </w:r>
    </w:p>
    <w:p>
      <w:pPr>
        <w:pStyle w:val="ReportLabel"/>
      </w:pPr>
      <w:r>
        <w:rPr/>
        <w:t xml:space="preserve">Affected Resources</w:t>
      </w:r>
    </w:p>
    <w:tbl>
      <w:tblGrid>
        <w:gridCol w:w="3200" w:type="dxa"/>
        <w:gridCol w:w="2900" w:type="dxa"/>
        <w:gridCol w:w="2900" w:type="dxa"/>
      </w:tblGrid>
      <w:tblPr>
        <w:tblW w:w="900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00" w:hRule="atLeast"/>
          <w:tblHeader w:val="1"/>
          <w:cantSplit w:val="1"/>
        </w:trPr>
        <w:tc>
          <w:tcPr>
            <w:tcW w:w="3200" w:type="dxa"/>
            <w:vAlign w:val="center"/>
            <w:shd w:val="clear" w:fill="E6F3F4"/>
            <w:noWrap/>
          </w:tcPr>
          <w:p>
            <w:pPr>
              <w:spacing w:after="0"/>
            </w:pPr>
            <w:r>
              <w:rPr>
                <w:color w:val="102A43"/>
                <w:sz w:val="16"/>
                <w:szCs w:val="16"/>
                <w:b w:val="1"/>
                <w:bCs w:val="1"/>
              </w:rPr>
              <w:t xml:space="preserve">RESOURCE</w:t>
            </w:r>
          </w:p>
        </w:tc>
        <w:tc>
          <w:tcPr>
            <w:tcW w:w="2900" w:type="dxa"/>
            <w:vAlign w:val="center"/>
            <w:shd w:val="clear" w:fill="E6F3F4"/>
            <w:noWrap/>
          </w:tcPr>
          <w:p>
            <w:pPr>
              <w:spacing w:after="0"/>
            </w:pPr>
            <w:r>
              <w:rPr>
                <w:color w:val="102A43"/>
                <w:sz w:val="16"/>
                <w:szCs w:val="16"/>
                <w:b w:val="1"/>
                <w:bCs w:val="1"/>
              </w:rPr>
              <w:t xml:space="preserve">SUBSCRIPTION</w:t>
            </w:r>
          </w:p>
        </w:tc>
        <w:tc>
          <w:tcPr>
            <w:tcW w:w="2900" w:type="dxa"/>
            <w:vAlign w:val="center"/>
            <w:shd w:val="clear" w:fill="E6F3F4"/>
            <w:noWrap/>
          </w:tcPr>
          <w:p>
            <w:pPr>
              <w:spacing w:after="0"/>
            </w:pPr>
            <w:r>
              <w:rPr>
                <w:color w:val="102A43"/>
                <w:sz w:val="16"/>
                <w:szCs w:val="16"/>
                <w:b w:val="1"/>
                <w:bCs w:val="1"/>
              </w:rPr>
              <w:t xml:space="preserve">RESOURCE GROUP</w:t>
            </w:r>
          </w:p>
        </w:tc>
      </w:tr>
      <w:tr>
        <w:trPr>
          <w:trHeight w:val="300" w:hRule="atLeast"/>
          <w:cantSplit w:val="1"/>
        </w:trPr>
        <w:tc>
          <w:tcPr>
            <w:tcW w:w="3200" w:type="dxa"/>
            <w:vAlign w:val="center"/>
            <w:shd w:val="clear" w:fill="FFFFFF"/>
            <w:noWrap/>
          </w:tcPr>
          <w:p>
            <w:pPr>
              <w:spacing w:after="0"/>
            </w:pPr>
            <w:r>
              <w:rPr>
                <w:color w:val="102A43"/>
                <w:sz w:val="18"/>
                <w:szCs w:val="18"/>
              </w:rPr>
              <w:t xml:space="preserve">contoso-platform-baseline</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management-groups</w:t>
            </w:r>
          </w:p>
        </w:tc>
      </w:tr>
      <w:tr>
        <w:trPr>
          <w:trHeight w:val="300" w:hRule="atLeast"/>
          <w:cantSplit w:val="1"/>
        </w:trPr>
        <w:tc>
          <w:tcPr>
            <w:tcW w:w="3200" w:type="dxa"/>
            <w:vAlign w:val="center"/>
            <w:shd w:val="clear" w:fill="F3F6F8"/>
            <w:noWrap/>
          </w:tcPr>
          <w:p>
            <w:pPr>
              <w:spacing w:after="0"/>
            </w:pPr>
            <w:r>
              <w:rPr>
                <w:color w:val="102A43"/>
                <w:sz w:val="18"/>
                <w:szCs w:val="18"/>
              </w:rPr>
              <w:t xml:space="preserve">contoso-security-baseline</w:t>
            </w:r>
          </w:p>
        </w:tc>
        <w:tc>
          <w:tcPr>
            <w:tcW w:w="2900" w:type="dxa"/>
            <w:vAlign w:val="center"/>
            <w:shd w:val="clear" w:fill="F3F6F8"/>
            <w:noWrap/>
          </w:tcPr>
          <w:p>
            <w:pPr>
              <w:spacing w:after="0"/>
            </w:pPr>
            <w:r>
              <w:rPr>
                <w:color w:val="102A43"/>
                <w:sz w:val="18"/>
                <w:szCs w:val="18"/>
              </w:rPr>
              <w:t xml:space="preserve">Contoso-Prod-001</w:t>
            </w:r>
          </w:p>
        </w:tc>
        <w:tc>
          <w:tcPr>
            <w:tcW w:w="2900" w:type="dxa"/>
            <w:vAlign w:val="center"/>
            <w:shd w:val="clear" w:fill="F3F6F8"/>
            <w:noWrap/>
          </w:tcPr>
          <w:p>
            <w:pPr>
              <w:spacing w:after="0"/>
            </w:pPr>
            <w:r>
              <w:rPr>
                <w:color w:val="102A43"/>
                <w:sz w:val="18"/>
                <w:szCs w:val="18"/>
              </w:rPr>
              <w:t xml:space="preserve">management-groups</w:t>
            </w:r>
          </w:p>
        </w:tc>
      </w:tr>
    </w:tbl>
    <w:p>
      <w:pPr>
        <w:pStyle w:val="ReportLabel"/>
      </w:pPr>
      <w:r>
        <w:rPr/>
        <w:t xml:space="preserve">Business Impact</w:t>
      </w:r>
    </w:p>
    <w:p>
      <w:pPr>
        <w:spacing w:after="120"/>
      </w:pPr>
      <w:r>
        <w:rPr>
          <w:color w:val="102A43"/>
          <w:sz w:val="22"/>
          <w:szCs w:val="22"/>
        </w:rPr>
        <w:t xml:space="preserve">Guardrails applied inconsistently across subscriptions make governance drift harder to detect and control.</w:t>
      </w:r>
    </w:p>
    <w:p>
      <w:pPr>
        <w:pStyle w:val="ReportLabel"/>
      </w:pPr>
      <w:r>
        <w:rPr/>
        <w:t xml:space="preserve">Remediation Guidance</w:t>
      </w:r>
    </w:p>
    <w:p>
      <w:pPr>
        <w:spacing w:after="120"/>
      </w:pPr>
      <w:r>
        <w:rPr>
          <w:color w:val="102A43"/>
          <w:sz w:val="22"/>
          <w:szCs w:val="22"/>
        </w:rPr>
        <w:t xml:space="preserve">Assign Azure Policy initiatives at the management group scope to ensure consistent inheritance across all child subscriptions.</w:t>
      </w:r>
    </w:p>
    <w:p>
      <w:pPr>
        <w:spacing w:after="0"/>
      </w:pPr>
      <w:r>
        <w:rPr/>
        <w:t xml:space="preserve"/>
      </w:r>
    </w:p>
    <w:p>
      <w:pPr>
        <w:spacing w:after="80"/>
      </w:pPr>
      <w:r>
        <w:rPr/>
        <w:t xml:space="preserve"/>
      </w:r>
    </w:p>
    <w:p>
      <w:pPr>
        <w:keepNext w:val="1"/>
        <w:spacing w:before="220" w:after="40"/>
      </w:pPr>
      <w:r>
        <w:rPr>
          <w:sz w:val="4"/>
          <w:szCs w:val="4"/>
        </w:rPr>
        <w:t xml:space="preserve"/>
      </w:r>
    </w:p>
    <w:tbl>
      <w:tblGrid>
        <w:gridCol w:w="900" w:type="dxa"/>
        <w:gridCol w:w="6500" w:type="dxa"/>
        <w:gridCol w:w="1600" w:type="dxa"/>
      </w:tblGrid>
      <w:tblPr>
        <w:tblW w:w="9000" w:type="dxa"/>
        <w:tblInd w:w="150" w:type="dxa"/>
        <w:tblLayout w:type="fixed"/>
        <w:tblCellMar>
          <w:top w:w="150" w:type="dxa"/>
          <w:left w:w="150" w:type="dxa"/>
          <w:right w:w="150" w:type="dxa"/>
          <w:bottom w:w="15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cantSplit w:val="1"/>
        </w:trPr>
        <w:tc>
          <w:tcPr>
            <w:tcW w:w="900" w:type="dxa"/>
            <w:vAlign w:val="center"/>
            <w:shd w:val="clear" w:fill="102A43"/>
            <w:noWrap/>
          </w:tcPr>
          <w:p>
            <w:pPr>
              <w:keepNext w:val="1"/>
              <w:jc w:val="center"/>
              <w:spacing w:after="20"/>
            </w:pPr>
            <w:r>
              <w:rPr>
                <w:color w:val="65DDD1"/>
                <w:sz w:val="26"/>
                <w:szCs w:val="26"/>
                <w:b w:val="1"/>
                <w:bCs w:val="1"/>
              </w:rPr>
              <w:t xml:space="preserve">F02</w:t>
            </w:r>
          </w:p>
          <w:p>
            <w:pPr>
              <w:keepNext w:val="1"/>
              <w:jc w:val="center"/>
              <w:spacing w:after="0"/>
            </w:pPr>
            <w:r>
              <w:rPr>
                <w:color w:val="C4D5E4"/>
                <w:sz w:val="14"/>
                <w:szCs w:val="14"/>
                <w:b w:val="1"/>
                <w:bCs w:val="1"/>
              </w:rPr>
              <w:t xml:space="preserve">FINDING</w:t>
            </w:r>
          </w:p>
        </w:tc>
        <w:tc>
          <w:tcPr>
            <w:tcW w:w="6500" w:type="dxa"/>
            <w:vAlign w:val="center"/>
            <w:shd w:val="clear" w:fill="102A43"/>
            <w:noWrap/>
          </w:tcPr>
          <w:p>
            <w:pPr>
              <w:keepNext w:val="1"/>
              <w:spacing w:after="45"/>
            </w:pPr>
            <w:r>
              <w:rPr>
                <w:color w:val="FFFFFF"/>
                <w:sz w:val="22"/>
                <w:szCs w:val="22"/>
                <w:b w:val="1"/>
                <w:bCs w:val="1"/>
              </w:rPr>
              <w:t xml:space="preserve">Storage accounts allow public blob access</w:t>
            </w:r>
          </w:p>
          <w:p>
            <w:pPr>
              <w:keepNext w:val="1"/>
              <w:spacing w:after="0"/>
            </w:pPr>
            <w:r>
              <w:rPr>
                <w:color w:val="C4D5E4"/>
                <w:sz w:val="16"/>
                <w:szCs w:val="16"/>
              </w:rPr>
              <w:t xml:space="preserve">Security  /  Microsoft.Storage/storage Accounts</w:t>
            </w:r>
          </w:p>
        </w:tc>
        <w:tc>
          <w:tcPr>
            <w:tcW w:w="1600" w:type="dxa"/>
            <w:vAlign w:val="center"/>
            <w:shd w:val="clear" w:fill="9A4D15"/>
            <w:noWrap/>
          </w:tcPr>
          <w:p>
            <w:pPr>
              <w:keepNext w:val="1"/>
              <w:jc w:val="center"/>
              <w:spacing w:after="35"/>
            </w:pPr>
            <w:r>
              <w:rPr>
                <w:color w:val="FFFFFF"/>
                <w:sz w:val="20"/>
                <w:szCs w:val="20"/>
                <w:b w:val="1"/>
                <w:bCs w:val="1"/>
              </w:rPr>
              <w:t xml:space="preserve">HIGH</w:t>
            </w:r>
          </w:p>
          <w:p>
            <w:pPr>
              <w:keepNext w:val="1"/>
              <w:jc w:val="center"/>
              <w:spacing w:after="0"/>
            </w:pPr>
            <w:r>
              <w:rPr>
                <w:color w:val="FFFFFF"/>
                <w:sz w:val="16"/>
                <w:szCs w:val="16"/>
                <w:b w:val="1"/>
                <w:bCs w:val="1"/>
              </w:rPr>
              <w:t xml:space="preserve">1</w:t>
            </w:r>
          </w:p>
        </w:tc>
      </w:tr>
    </w:tbl>
    <w:p>
      <w:pPr>
        <w:pStyle w:val="ReportLabel"/>
      </w:pPr>
      <w:r>
        <w:rPr/>
        <w:t xml:space="preserve">Disposition</w:t>
      </w:r>
    </w:p>
    <w:p>
      <w:pPr>
        <w:spacing w:after="120"/>
      </w:pPr>
      <w:r>
        <w:rPr>
          <w:color w:val="102A43"/>
          <w:sz w:val="22"/>
          <w:szCs w:val="22"/>
        </w:rPr>
        <w:t xml:space="preserve">Partially accepted (1 of 3 resources)</w:t>
      </w:r>
    </w:p>
    <w:p>
      <w:pPr>
        <w:pStyle w:val="ReportLabel"/>
      </w:pPr>
      <w:r>
        <w:rPr/>
        <w:t xml:space="preserve">Assessment effect</w:t>
      </w:r>
    </w:p>
    <w:p>
      <w:pPr>
        <w:spacing w:after="120"/>
      </w:pPr>
      <w:r>
        <w:rPr>
          <w:color w:val="102A43"/>
          <w:sz w:val="22"/>
          <w:szCs w:val="22"/>
        </w:rPr>
        <w:t xml:space="preserve">Remains visible and does not change the assessed score or count as remediation.</w:t>
      </w:r>
    </w:p>
    <w:p>
      <w:pPr>
        <w:pStyle w:val="ReportLabel"/>
      </w:pPr>
      <w:r>
        <w:rPr/>
        <w:t xml:space="preserve">Exception owner</w:t>
      </w:r>
    </w:p>
    <w:p>
      <w:pPr>
        <w:spacing w:after="120"/>
      </w:pPr>
      <w:r>
        <w:rPr>
          <w:color w:val="102A43"/>
          <w:sz w:val="22"/>
          <w:szCs w:val="22"/>
        </w:rPr>
        <w:t xml:space="preserve">Contoso platform team</w:t>
      </w:r>
    </w:p>
    <w:p>
      <w:pPr>
        <w:pStyle w:val="ReportLabel"/>
      </w:pPr>
      <w:r>
        <w:rPr/>
        <w:t xml:space="preserve">Exception reason</w:t>
      </w:r>
    </w:p>
    <w:p>
      <w:pPr>
        <w:spacing w:after="120"/>
      </w:pPr>
      <w:r>
        <w:rPr>
          <w:color w:val="102A43"/>
          <w:sz w:val="22"/>
          <w:szCs w:val="22"/>
        </w:rPr>
        <w:t xml:space="preserve">Intended Configuration</w:t>
      </w:r>
    </w:p>
    <w:p>
      <w:pPr>
        <w:pStyle w:val="ReportLabel"/>
      </w:pPr>
      <w:r>
        <w:rPr/>
        <w:t xml:space="preserve">Justification</w:t>
      </w:r>
    </w:p>
    <w:p>
      <w:pPr>
        <w:spacing w:after="120"/>
      </w:pPr>
      <w:r>
        <w:rPr>
          <w:color w:val="102A43"/>
          <w:sz w:val="22"/>
          <w:szCs w:val="22"/>
        </w:rPr>
        <w:t xml:space="preserve">Approved public documentation endpoint with compensating access controls.</w:t>
      </w:r>
    </w:p>
    <w:p>
      <w:pPr>
        <w:pStyle w:val="ReportLabel"/>
      </w:pPr>
      <w:r>
        <w:rPr/>
        <w:t xml:space="preserve">Impact Scope</w:t>
      </w:r>
    </w:p>
    <w:p>
      <w:pPr>
        <w:spacing w:after="120"/>
      </w:pPr>
      <w:r>
        <w:rPr>
          <w:color w:val="102A43"/>
          <w:sz w:val="22"/>
          <w:szCs w:val="22"/>
        </w:rPr>
        <w:t xml:space="preserve">3 resources | 1 subscription | 2 resource groups</w:t>
      </w:r>
    </w:p>
    <w:p>
      <w:pPr>
        <w:pStyle w:val="ReportLabel"/>
      </w:pPr>
      <w:r>
        <w:rPr/>
        <w:t xml:space="preserve">Affected Resources</w:t>
      </w:r>
    </w:p>
    <w:tbl>
      <w:tblGrid>
        <w:gridCol w:w="3200" w:type="dxa"/>
        <w:gridCol w:w="2900" w:type="dxa"/>
        <w:gridCol w:w="2900" w:type="dxa"/>
      </w:tblGrid>
      <w:tblPr>
        <w:tblW w:w="900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00" w:hRule="atLeast"/>
          <w:tblHeader w:val="1"/>
          <w:cantSplit w:val="1"/>
        </w:trPr>
        <w:tc>
          <w:tcPr>
            <w:tcW w:w="3200" w:type="dxa"/>
            <w:vAlign w:val="center"/>
            <w:shd w:val="clear" w:fill="E6F3F4"/>
            <w:noWrap/>
          </w:tcPr>
          <w:p>
            <w:pPr>
              <w:spacing w:after="0"/>
            </w:pPr>
            <w:r>
              <w:rPr>
                <w:color w:val="102A43"/>
                <w:sz w:val="16"/>
                <w:szCs w:val="16"/>
                <w:b w:val="1"/>
                <w:bCs w:val="1"/>
              </w:rPr>
              <w:t xml:space="preserve">RESOURCE</w:t>
            </w:r>
          </w:p>
        </w:tc>
        <w:tc>
          <w:tcPr>
            <w:tcW w:w="2900" w:type="dxa"/>
            <w:vAlign w:val="center"/>
            <w:shd w:val="clear" w:fill="E6F3F4"/>
            <w:noWrap/>
          </w:tcPr>
          <w:p>
            <w:pPr>
              <w:spacing w:after="0"/>
            </w:pPr>
            <w:r>
              <w:rPr>
                <w:color w:val="102A43"/>
                <w:sz w:val="16"/>
                <w:szCs w:val="16"/>
                <w:b w:val="1"/>
                <w:bCs w:val="1"/>
              </w:rPr>
              <w:t xml:space="preserve">SUBSCRIPTION</w:t>
            </w:r>
          </w:p>
        </w:tc>
        <w:tc>
          <w:tcPr>
            <w:tcW w:w="2900" w:type="dxa"/>
            <w:vAlign w:val="center"/>
            <w:shd w:val="clear" w:fill="E6F3F4"/>
            <w:noWrap/>
          </w:tcPr>
          <w:p>
            <w:pPr>
              <w:spacing w:after="0"/>
            </w:pPr>
            <w:r>
              <w:rPr>
                <w:color w:val="102A43"/>
                <w:sz w:val="16"/>
                <w:szCs w:val="16"/>
                <w:b w:val="1"/>
                <w:bCs w:val="1"/>
              </w:rPr>
              <w:t xml:space="preserve">RESOURCE GROUP</w:t>
            </w:r>
          </w:p>
        </w:tc>
      </w:tr>
      <w:tr>
        <w:trPr>
          <w:trHeight w:val="300" w:hRule="atLeast"/>
          <w:cantSplit w:val="1"/>
        </w:trPr>
        <w:tc>
          <w:tcPr>
            <w:tcW w:w="3200" w:type="dxa"/>
            <w:vAlign w:val="center"/>
            <w:shd w:val="clear" w:fill="FFFFFF"/>
            <w:noWrap/>
          </w:tcPr>
          <w:p>
            <w:pPr>
              <w:spacing w:after="0"/>
            </w:pPr>
            <w:r>
              <w:rPr>
                <w:color w:val="102A43"/>
                <w:sz w:val="18"/>
                <w:szCs w:val="18"/>
              </w:rPr>
              <w:t xml:space="preserve">stcontosopublic001</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rg-data-prod</w:t>
            </w:r>
          </w:p>
        </w:tc>
      </w:tr>
      <w:tr>
        <w:trPr>
          <w:trHeight w:val="300" w:hRule="atLeast"/>
          <w:cantSplit w:val="1"/>
        </w:trPr>
        <w:tc>
          <w:tcPr>
            <w:tcW w:w="3200" w:type="dxa"/>
            <w:vAlign w:val="center"/>
            <w:shd w:val="clear" w:fill="F3F6F8"/>
            <w:noWrap/>
          </w:tcPr>
          <w:p>
            <w:pPr>
              <w:spacing w:after="0"/>
            </w:pPr>
            <w:r>
              <w:rPr>
                <w:color w:val="102A43"/>
                <w:sz w:val="18"/>
                <w:szCs w:val="18"/>
              </w:rPr>
              <w:t xml:space="preserve">stcontosoarchive001</w:t>
            </w:r>
          </w:p>
        </w:tc>
        <w:tc>
          <w:tcPr>
            <w:tcW w:w="2900" w:type="dxa"/>
            <w:vAlign w:val="center"/>
            <w:shd w:val="clear" w:fill="F3F6F8"/>
            <w:noWrap/>
          </w:tcPr>
          <w:p>
            <w:pPr>
              <w:spacing w:after="0"/>
            </w:pPr>
            <w:r>
              <w:rPr>
                <w:color w:val="102A43"/>
                <w:sz w:val="18"/>
                <w:szCs w:val="18"/>
              </w:rPr>
              <w:t xml:space="preserve">Contoso-Prod-001</w:t>
            </w:r>
          </w:p>
        </w:tc>
        <w:tc>
          <w:tcPr>
            <w:tcW w:w="2900" w:type="dxa"/>
            <w:vAlign w:val="center"/>
            <w:shd w:val="clear" w:fill="F3F6F8"/>
            <w:noWrap/>
          </w:tcPr>
          <w:p>
            <w:pPr>
              <w:spacing w:after="0"/>
            </w:pPr>
            <w:r>
              <w:rPr>
                <w:color w:val="102A43"/>
                <w:sz w:val="18"/>
                <w:szCs w:val="18"/>
              </w:rPr>
              <w:t xml:space="preserve">rg-data-prod</w:t>
            </w:r>
          </w:p>
        </w:tc>
      </w:tr>
      <w:tr>
        <w:trPr>
          <w:trHeight w:val="300" w:hRule="atLeast"/>
          <w:cantSplit w:val="1"/>
        </w:trPr>
        <w:tc>
          <w:tcPr>
            <w:tcW w:w="3200" w:type="dxa"/>
            <w:vAlign w:val="center"/>
            <w:shd w:val="clear" w:fill="FFFFFF"/>
            <w:noWrap/>
          </w:tcPr>
          <w:p>
            <w:pPr>
              <w:spacing w:after="0"/>
            </w:pPr>
            <w:r>
              <w:rPr>
                <w:color w:val="102A43"/>
                <w:sz w:val="18"/>
                <w:szCs w:val="18"/>
              </w:rPr>
              <w:t xml:space="preserve">stcontosologs001</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rg-ops-prod</w:t>
            </w:r>
          </w:p>
        </w:tc>
      </w:tr>
    </w:tbl>
    <w:p>
      <w:pPr>
        <w:pStyle w:val="ReportLabel"/>
      </w:pPr>
      <w:r>
        <w:rPr/>
        <w:t xml:space="preserve">Business Impact</w:t>
      </w:r>
    </w:p>
    <w:p>
      <w:pPr>
        <w:spacing w:after="120"/>
      </w:pPr>
      <w:r>
        <w:rPr>
          <w:color w:val="102A43"/>
          <w:sz w:val="22"/>
          <w:szCs w:val="22"/>
        </w:rPr>
        <w:t xml:space="preserve">Sensitive data stored in affected accounts could be accessed without authentication.</w:t>
      </w:r>
    </w:p>
    <w:p>
      <w:pPr>
        <w:pStyle w:val="ReportLabel"/>
      </w:pPr>
      <w:r>
        <w:rPr/>
        <w:t xml:space="preserve">Remediation Guidance</w:t>
      </w:r>
    </w:p>
    <w:p>
      <w:pPr>
        <w:spacing w:after="120"/>
      </w:pPr>
      <w:r>
        <w:rPr>
          <w:color w:val="102A43"/>
          <w:sz w:val="22"/>
          <w:szCs w:val="22"/>
        </w:rPr>
        <w:t xml:space="preserve">Set AllowBlobPublicAccess to false on all storage accounts that do not explicitly require public access.</w:t>
      </w:r>
    </w:p>
    <w:p>
      <w:pPr>
        <w:spacing w:after="0"/>
      </w:pPr>
      <w:r>
        <w:rPr/>
        <w:t xml:space="preserve"/>
      </w:r>
    </w:p>
    <w:p>
      <w:pPr>
        <w:spacing w:after="80"/>
      </w:pPr>
      <w:r>
        <w:rPr/>
        <w:t xml:space="preserve"/>
      </w:r>
    </w:p>
    <w:p>
      <w:pPr>
        <w:keepNext w:val="1"/>
        <w:spacing w:before="220" w:after="40"/>
      </w:pPr>
      <w:r>
        <w:rPr>
          <w:sz w:val="4"/>
          <w:szCs w:val="4"/>
        </w:rPr>
        <w:t xml:space="preserve"/>
      </w:r>
    </w:p>
    <w:tbl>
      <w:tblGrid>
        <w:gridCol w:w="900" w:type="dxa"/>
        <w:gridCol w:w="6500" w:type="dxa"/>
        <w:gridCol w:w="1600" w:type="dxa"/>
      </w:tblGrid>
      <w:tblPr>
        <w:tblW w:w="9000" w:type="dxa"/>
        <w:tblInd w:w="150" w:type="dxa"/>
        <w:tblLayout w:type="fixed"/>
        <w:tblCellMar>
          <w:top w:w="150" w:type="dxa"/>
          <w:left w:w="150" w:type="dxa"/>
          <w:right w:w="150" w:type="dxa"/>
          <w:bottom w:w="15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cantSplit w:val="1"/>
        </w:trPr>
        <w:tc>
          <w:tcPr>
            <w:tcW w:w="900" w:type="dxa"/>
            <w:vAlign w:val="center"/>
            <w:shd w:val="clear" w:fill="102A43"/>
            <w:noWrap/>
          </w:tcPr>
          <w:p>
            <w:pPr>
              <w:keepNext w:val="1"/>
              <w:jc w:val="center"/>
              <w:spacing w:after="20"/>
            </w:pPr>
            <w:r>
              <w:rPr>
                <w:color w:val="65DDD1"/>
                <w:sz w:val="26"/>
                <w:szCs w:val="26"/>
                <w:b w:val="1"/>
                <w:bCs w:val="1"/>
              </w:rPr>
              <w:t xml:space="preserve">F03</w:t>
            </w:r>
          </w:p>
          <w:p>
            <w:pPr>
              <w:keepNext w:val="1"/>
              <w:jc w:val="center"/>
              <w:spacing w:after="0"/>
            </w:pPr>
            <w:r>
              <w:rPr>
                <w:color w:val="C4D5E4"/>
                <w:sz w:val="14"/>
                <w:szCs w:val="14"/>
                <w:b w:val="1"/>
                <w:bCs w:val="1"/>
              </w:rPr>
              <w:t xml:space="preserve">FINDING</w:t>
            </w:r>
          </w:p>
        </w:tc>
        <w:tc>
          <w:tcPr>
            <w:tcW w:w="6500" w:type="dxa"/>
            <w:vAlign w:val="center"/>
            <w:shd w:val="clear" w:fill="102A43"/>
            <w:noWrap/>
          </w:tcPr>
          <w:p>
            <w:pPr>
              <w:keepNext w:val="1"/>
              <w:spacing w:after="45"/>
            </w:pPr>
            <w:r>
              <w:rPr>
                <w:color w:val="FFFFFF"/>
                <w:sz w:val="22"/>
                <w:szCs w:val="22"/>
                <w:b w:val="1"/>
                <w:bCs w:val="1"/>
              </w:rPr>
              <w:t xml:space="preserve">Defender for Cloud not enabled for key vault workloads</w:t>
            </w:r>
          </w:p>
          <w:p>
            <w:pPr>
              <w:keepNext w:val="1"/>
              <w:spacing w:after="0"/>
            </w:pPr>
            <w:r>
              <w:rPr>
                <w:color w:val="C4D5E4"/>
                <w:sz w:val="16"/>
                <w:szCs w:val="16"/>
              </w:rPr>
              <w:t xml:space="preserve">Security  /  Microsoft.Key Vault/vaults</w:t>
            </w:r>
          </w:p>
        </w:tc>
        <w:tc>
          <w:tcPr>
            <w:tcW w:w="1600" w:type="dxa"/>
            <w:vAlign w:val="center"/>
            <w:shd w:val="clear" w:fill="9A4D15"/>
            <w:noWrap/>
          </w:tcPr>
          <w:p>
            <w:pPr>
              <w:keepNext w:val="1"/>
              <w:jc w:val="center"/>
              <w:spacing w:after="35"/>
            </w:pPr>
            <w:r>
              <w:rPr>
                <w:color w:val="FFFFFF"/>
                <w:sz w:val="20"/>
                <w:szCs w:val="20"/>
                <w:b w:val="1"/>
                <w:bCs w:val="1"/>
              </w:rPr>
              <w:t xml:space="preserve">HIGH</w:t>
            </w:r>
          </w:p>
          <w:p>
            <w:pPr>
              <w:keepNext w:val="1"/>
              <w:jc w:val="center"/>
              <w:spacing w:after="0"/>
            </w:pPr>
            <w:r>
              <w:rPr>
                <w:color w:val="FFFFFF"/>
                <w:sz w:val="16"/>
                <w:szCs w:val="16"/>
                <w:b w:val="1"/>
                <w:bCs w:val="1"/>
              </w:rPr>
              <w:t xml:space="preserve">1</w:t>
            </w:r>
          </w:p>
        </w:tc>
      </w:tr>
    </w:tbl>
    <w:p>
      <w:pPr>
        <w:pStyle w:val="ReportLabel"/>
      </w:pPr>
      <w:r>
        <w:rPr/>
        <w:t xml:space="preserve">Impact Scope</w:t>
      </w:r>
    </w:p>
    <w:p>
      <w:pPr>
        <w:spacing w:after="120"/>
      </w:pPr>
      <w:r>
        <w:rPr>
          <w:color w:val="102A43"/>
          <w:sz w:val="22"/>
          <w:szCs w:val="22"/>
        </w:rPr>
        <w:t xml:space="preserve">2 resources | 1 subscription | 2 resource groups</w:t>
      </w:r>
    </w:p>
    <w:p>
      <w:pPr>
        <w:pStyle w:val="ReportLabel"/>
      </w:pPr>
      <w:r>
        <w:rPr/>
        <w:t xml:space="preserve">Affected Resources</w:t>
      </w:r>
    </w:p>
    <w:tbl>
      <w:tblGrid>
        <w:gridCol w:w="3200" w:type="dxa"/>
        <w:gridCol w:w="2900" w:type="dxa"/>
        <w:gridCol w:w="2900" w:type="dxa"/>
      </w:tblGrid>
      <w:tblPr>
        <w:tblW w:w="900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00" w:hRule="atLeast"/>
          <w:tblHeader w:val="1"/>
          <w:cantSplit w:val="1"/>
        </w:trPr>
        <w:tc>
          <w:tcPr>
            <w:tcW w:w="3200" w:type="dxa"/>
            <w:vAlign w:val="center"/>
            <w:shd w:val="clear" w:fill="E6F3F4"/>
            <w:noWrap/>
          </w:tcPr>
          <w:p>
            <w:pPr>
              <w:spacing w:after="0"/>
            </w:pPr>
            <w:r>
              <w:rPr>
                <w:color w:val="102A43"/>
                <w:sz w:val="16"/>
                <w:szCs w:val="16"/>
                <w:b w:val="1"/>
                <w:bCs w:val="1"/>
              </w:rPr>
              <w:t xml:space="preserve">RESOURCE</w:t>
            </w:r>
          </w:p>
        </w:tc>
        <w:tc>
          <w:tcPr>
            <w:tcW w:w="2900" w:type="dxa"/>
            <w:vAlign w:val="center"/>
            <w:shd w:val="clear" w:fill="E6F3F4"/>
            <w:noWrap/>
          </w:tcPr>
          <w:p>
            <w:pPr>
              <w:spacing w:after="0"/>
            </w:pPr>
            <w:r>
              <w:rPr>
                <w:color w:val="102A43"/>
                <w:sz w:val="16"/>
                <w:szCs w:val="16"/>
                <w:b w:val="1"/>
                <w:bCs w:val="1"/>
              </w:rPr>
              <w:t xml:space="preserve">SUBSCRIPTION</w:t>
            </w:r>
          </w:p>
        </w:tc>
        <w:tc>
          <w:tcPr>
            <w:tcW w:w="2900" w:type="dxa"/>
            <w:vAlign w:val="center"/>
            <w:shd w:val="clear" w:fill="E6F3F4"/>
            <w:noWrap/>
          </w:tcPr>
          <w:p>
            <w:pPr>
              <w:spacing w:after="0"/>
            </w:pPr>
            <w:r>
              <w:rPr>
                <w:color w:val="102A43"/>
                <w:sz w:val="16"/>
                <w:szCs w:val="16"/>
                <w:b w:val="1"/>
                <w:bCs w:val="1"/>
              </w:rPr>
              <w:t xml:space="preserve">RESOURCE GROUP</w:t>
            </w:r>
          </w:p>
        </w:tc>
      </w:tr>
      <w:tr>
        <w:trPr>
          <w:trHeight w:val="300" w:hRule="atLeast"/>
          <w:cantSplit w:val="1"/>
        </w:trPr>
        <w:tc>
          <w:tcPr>
            <w:tcW w:w="3200" w:type="dxa"/>
            <w:vAlign w:val="center"/>
            <w:shd w:val="clear" w:fill="FFFFFF"/>
            <w:noWrap/>
          </w:tcPr>
          <w:p>
            <w:pPr>
              <w:spacing w:after="0"/>
            </w:pPr>
            <w:r>
              <w:rPr>
                <w:color w:val="102A43"/>
                <w:sz w:val="18"/>
                <w:szCs w:val="18"/>
              </w:rPr>
              <w:t xml:space="preserve">kv-contoso-prod-001</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rg-security-prod</w:t>
            </w:r>
          </w:p>
        </w:tc>
      </w:tr>
      <w:tr>
        <w:trPr>
          <w:trHeight w:val="300" w:hRule="atLeast"/>
          <w:cantSplit w:val="1"/>
        </w:trPr>
        <w:tc>
          <w:tcPr>
            <w:tcW w:w="3200" w:type="dxa"/>
            <w:vAlign w:val="center"/>
            <w:shd w:val="clear" w:fill="F3F6F8"/>
            <w:noWrap/>
          </w:tcPr>
          <w:p>
            <w:pPr>
              <w:spacing w:after="0"/>
            </w:pPr>
            <w:r>
              <w:rPr>
                <w:color w:val="102A43"/>
                <w:sz w:val="18"/>
                <w:szCs w:val="18"/>
              </w:rPr>
              <w:t xml:space="preserve">kv-contoso-app-001</w:t>
            </w:r>
          </w:p>
        </w:tc>
        <w:tc>
          <w:tcPr>
            <w:tcW w:w="2900" w:type="dxa"/>
            <w:vAlign w:val="center"/>
            <w:shd w:val="clear" w:fill="F3F6F8"/>
            <w:noWrap/>
          </w:tcPr>
          <w:p>
            <w:pPr>
              <w:spacing w:after="0"/>
            </w:pPr>
            <w:r>
              <w:rPr>
                <w:color w:val="102A43"/>
                <w:sz w:val="18"/>
                <w:szCs w:val="18"/>
              </w:rPr>
              <w:t xml:space="preserve">Contoso-Prod-001</w:t>
            </w:r>
          </w:p>
        </w:tc>
        <w:tc>
          <w:tcPr>
            <w:tcW w:w="2900" w:type="dxa"/>
            <w:vAlign w:val="center"/>
            <w:shd w:val="clear" w:fill="F3F6F8"/>
            <w:noWrap/>
          </w:tcPr>
          <w:p>
            <w:pPr>
              <w:spacing w:after="0"/>
            </w:pPr>
            <w:r>
              <w:rPr>
                <w:color w:val="102A43"/>
                <w:sz w:val="18"/>
                <w:szCs w:val="18"/>
              </w:rPr>
              <w:t xml:space="preserve">rg-app-prod</w:t>
            </w:r>
          </w:p>
        </w:tc>
      </w:tr>
    </w:tbl>
    <w:p>
      <w:pPr>
        <w:pStyle w:val="ReportLabel"/>
      </w:pPr>
      <w:r>
        <w:rPr/>
        <w:t xml:space="preserve">Business Impact</w:t>
      </w:r>
    </w:p>
    <w:p>
      <w:pPr>
        <w:spacing w:after="120"/>
      </w:pPr>
      <w:r>
        <w:rPr>
          <w:color w:val="102A43"/>
          <w:sz w:val="22"/>
          <w:szCs w:val="22"/>
        </w:rPr>
        <w:t xml:space="preserve">Threat detection coverage is incomplete for sensitive secret, certificate, and key stores.</w:t>
      </w:r>
    </w:p>
    <w:p>
      <w:pPr>
        <w:pStyle w:val="ReportLabel"/>
      </w:pPr>
      <w:r>
        <w:rPr/>
        <w:t xml:space="preserve">Remediation Guidance</w:t>
      </w:r>
    </w:p>
    <w:p>
      <w:pPr>
        <w:spacing w:after="120"/>
      </w:pPr>
      <w:r>
        <w:rPr>
          <w:color w:val="102A43"/>
          <w:sz w:val="22"/>
          <w:szCs w:val="22"/>
        </w:rPr>
        <w:t xml:space="preserve">Enable Defender for Cloud plans for servers, storage, and key vaults at a minimum.</w:t>
      </w:r>
    </w:p>
    <w:p>
      <w:pPr>
        <w:spacing w:after="0"/>
      </w:pPr>
      <w:r>
        <w:rPr/>
        <w:t xml:space="preserve"/>
      </w:r>
    </w:p>
    <w:p>
      <w:pPr>
        <w:spacing w:after="80"/>
      </w:pPr>
      <w:r>
        <w:rPr/>
        <w:t xml:space="preserve"/>
      </w:r>
    </w:p>
    <w:p>
      <w:pPr>
        <w:keepNext w:val="1"/>
        <w:spacing w:before="220" w:after="40"/>
      </w:pPr>
      <w:r>
        <w:rPr>
          <w:sz w:val="4"/>
          <w:szCs w:val="4"/>
        </w:rPr>
        <w:t xml:space="preserve"/>
      </w:r>
    </w:p>
    <w:tbl>
      <w:tblGrid>
        <w:gridCol w:w="900" w:type="dxa"/>
        <w:gridCol w:w="6500" w:type="dxa"/>
        <w:gridCol w:w="1600" w:type="dxa"/>
      </w:tblGrid>
      <w:tblPr>
        <w:tblW w:w="9000" w:type="dxa"/>
        <w:tblInd w:w="150" w:type="dxa"/>
        <w:tblLayout w:type="fixed"/>
        <w:tblCellMar>
          <w:top w:w="150" w:type="dxa"/>
          <w:left w:w="150" w:type="dxa"/>
          <w:right w:w="150" w:type="dxa"/>
          <w:bottom w:w="15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cantSplit w:val="1"/>
        </w:trPr>
        <w:tc>
          <w:tcPr>
            <w:tcW w:w="900" w:type="dxa"/>
            <w:vAlign w:val="center"/>
            <w:shd w:val="clear" w:fill="102A43"/>
            <w:noWrap/>
          </w:tcPr>
          <w:p>
            <w:pPr>
              <w:keepNext w:val="1"/>
              <w:jc w:val="center"/>
              <w:spacing w:after="20"/>
            </w:pPr>
            <w:r>
              <w:rPr>
                <w:color w:val="65DDD1"/>
                <w:sz w:val="26"/>
                <w:szCs w:val="26"/>
                <w:b w:val="1"/>
                <w:bCs w:val="1"/>
              </w:rPr>
              <w:t xml:space="preserve">F04</w:t>
            </w:r>
          </w:p>
          <w:p>
            <w:pPr>
              <w:keepNext w:val="1"/>
              <w:jc w:val="center"/>
              <w:spacing w:after="0"/>
            </w:pPr>
            <w:r>
              <w:rPr>
                <w:color w:val="C4D5E4"/>
                <w:sz w:val="14"/>
                <w:szCs w:val="14"/>
                <w:b w:val="1"/>
                <w:bCs w:val="1"/>
              </w:rPr>
              <w:t xml:space="preserve">FINDING</w:t>
            </w:r>
          </w:p>
        </w:tc>
        <w:tc>
          <w:tcPr>
            <w:tcW w:w="6500" w:type="dxa"/>
            <w:vAlign w:val="center"/>
            <w:shd w:val="clear" w:fill="102A43"/>
            <w:noWrap/>
          </w:tcPr>
          <w:p>
            <w:pPr>
              <w:keepNext w:val="1"/>
              <w:spacing w:after="45"/>
            </w:pPr>
            <w:r>
              <w:rPr>
                <w:color w:val="FFFFFF"/>
                <w:sz w:val="22"/>
                <w:szCs w:val="22"/>
                <w:b w:val="1"/>
                <w:bCs w:val="1"/>
              </w:rPr>
              <w:t xml:space="preserve">Virtual machines not protected by Azure Backup</w:t>
            </w:r>
          </w:p>
          <w:p>
            <w:pPr>
              <w:keepNext w:val="1"/>
              <w:spacing w:after="0"/>
            </w:pPr>
            <w:r>
              <w:rPr>
                <w:color w:val="C4D5E4"/>
                <w:sz w:val="16"/>
                <w:szCs w:val="16"/>
              </w:rPr>
              <w:t xml:space="preserve">Reliability  /  Microsoft.Compute/virtual Machines</w:t>
            </w:r>
          </w:p>
        </w:tc>
        <w:tc>
          <w:tcPr>
            <w:tcW w:w="1600" w:type="dxa"/>
            <w:vAlign w:val="center"/>
            <w:shd w:val="clear" w:fill="FBF3DC"/>
            <w:noWrap/>
          </w:tcPr>
          <w:p>
            <w:pPr>
              <w:keepNext w:val="1"/>
              <w:jc w:val="center"/>
              <w:spacing w:after="35"/>
            </w:pPr>
            <w:r>
              <w:rPr>
                <w:color w:val="806013"/>
                <w:sz w:val="20"/>
                <w:szCs w:val="20"/>
                <w:b w:val="1"/>
                <w:bCs w:val="1"/>
              </w:rPr>
              <w:t xml:space="preserve">MEDIUM</w:t>
            </w:r>
          </w:p>
          <w:p>
            <w:pPr>
              <w:keepNext w:val="1"/>
              <w:jc w:val="center"/>
              <w:spacing w:after="0"/>
            </w:pPr>
            <w:r>
              <w:rPr>
                <w:color w:val="806013"/>
                <w:sz w:val="16"/>
                <w:szCs w:val="16"/>
                <w:b w:val="1"/>
                <w:bCs w:val="1"/>
              </w:rPr>
              <w:t xml:space="preserve">1</w:t>
            </w:r>
          </w:p>
        </w:tc>
      </w:tr>
    </w:tbl>
    <w:p>
      <w:pPr>
        <w:pStyle w:val="ReportLabel"/>
      </w:pPr>
      <w:r>
        <w:rPr/>
        <w:t xml:space="preserve">Impact Scope</w:t>
      </w:r>
    </w:p>
    <w:p>
      <w:pPr>
        <w:spacing w:after="120"/>
      </w:pPr>
      <w:r>
        <w:rPr>
          <w:color w:val="102A43"/>
          <w:sz w:val="22"/>
          <w:szCs w:val="22"/>
        </w:rPr>
        <w:t xml:space="preserve">3 resources | 1 subscription | 3 resource groups</w:t>
      </w:r>
    </w:p>
    <w:p>
      <w:pPr>
        <w:pStyle w:val="ReportLabel"/>
      </w:pPr>
      <w:r>
        <w:rPr/>
        <w:t xml:space="preserve">Affected Resources</w:t>
      </w:r>
    </w:p>
    <w:tbl>
      <w:tblGrid>
        <w:gridCol w:w="3200" w:type="dxa"/>
        <w:gridCol w:w="2900" w:type="dxa"/>
        <w:gridCol w:w="2900" w:type="dxa"/>
      </w:tblGrid>
      <w:tblPr>
        <w:tblW w:w="900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00" w:hRule="atLeast"/>
          <w:tblHeader w:val="1"/>
          <w:cantSplit w:val="1"/>
        </w:trPr>
        <w:tc>
          <w:tcPr>
            <w:tcW w:w="3200" w:type="dxa"/>
            <w:vAlign w:val="center"/>
            <w:shd w:val="clear" w:fill="E6F3F4"/>
            <w:noWrap/>
          </w:tcPr>
          <w:p>
            <w:pPr>
              <w:spacing w:after="0"/>
            </w:pPr>
            <w:r>
              <w:rPr>
                <w:color w:val="102A43"/>
                <w:sz w:val="16"/>
                <w:szCs w:val="16"/>
                <w:b w:val="1"/>
                <w:bCs w:val="1"/>
              </w:rPr>
              <w:t xml:space="preserve">RESOURCE</w:t>
            </w:r>
          </w:p>
        </w:tc>
        <w:tc>
          <w:tcPr>
            <w:tcW w:w="2900" w:type="dxa"/>
            <w:vAlign w:val="center"/>
            <w:shd w:val="clear" w:fill="E6F3F4"/>
            <w:noWrap/>
          </w:tcPr>
          <w:p>
            <w:pPr>
              <w:spacing w:after="0"/>
            </w:pPr>
            <w:r>
              <w:rPr>
                <w:color w:val="102A43"/>
                <w:sz w:val="16"/>
                <w:szCs w:val="16"/>
                <w:b w:val="1"/>
                <w:bCs w:val="1"/>
              </w:rPr>
              <w:t xml:space="preserve">SUBSCRIPTION</w:t>
            </w:r>
          </w:p>
        </w:tc>
        <w:tc>
          <w:tcPr>
            <w:tcW w:w="2900" w:type="dxa"/>
            <w:vAlign w:val="center"/>
            <w:shd w:val="clear" w:fill="E6F3F4"/>
            <w:noWrap/>
          </w:tcPr>
          <w:p>
            <w:pPr>
              <w:spacing w:after="0"/>
            </w:pPr>
            <w:r>
              <w:rPr>
                <w:color w:val="102A43"/>
                <w:sz w:val="16"/>
                <w:szCs w:val="16"/>
                <w:b w:val="1"/>
                <w:bCs w:val="1"/>
              </w:rPr>
              <w:t xml:space="preserve">RESOURCE GROUP</w:t>
            </w:r>
          </w:p>
        </w:tc>
      </w:tr>
      <w:tr>
        <w:trPr>
          <w:trHeight w:val="300" w:hRule="atLeast"/>
          <w:cantSplit w:val="1"/>
        </w:trPr>
        <w:tc>
          <w:tcPr>
            <w:tcW w:w="3200" w:type="dxa"/>
            <w:vAlign w:val="center"/>
            <w:shd w:val="clear" w:fill="FFFFFF"/>
            <w:noWrap/>
          </w:tcPr>
          <w:p>
            <w:pPr>
              <w:spacing w:after="0"/>
            </w:pPr>
            <w:r>
              <w:rPr>
                <w:color w:val="102A43"/>
                <w:sz w:val="18"/>
                <w:szCs w:val="18"/>
              </w:rPr>
              <w:t xml:space="preserve">vm-web-prod-01</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rg-web-prod</w:t>
            </w:r>
          </w:p>
        </w:tc>
      </w:tr>
      <w:tr>
        <w:trPr>
          <w:trHeight w:val="300" w:hRule="atLeast"/>
          <w:cantSplit w:val="1"/>
        </w:trPr>
        <w:tc>
          <w:tcPr>
            <w:tcW w:w="3200" w:type="dxa"/>
            <w:vAlign w:val="center"/>
            <w:shd w:val="clear" w:fill="F3F6F8"/>
            <w:noWrap/>
          </w:tcPr>
          <w:p>
            <w:pPr>
              <w:spacing w:after="0"/>
            </w:pPr>
            <w:r>
              <w:rPr>
                <w:color w:val="102A43"/>
                <w:sz w:val="18"/>
                <w:szCs w:val="18"/>
              </w:rPr>
              <w:t xml:space="preserve">vm-api-prod-01</w:t>
            </w:r>
          </w:p>
        </w:tc>
        <w:tc>
          <w:tcPr>
            <w:tcW w:w="2900" w:type="dxa"/>
            <w:vAlign w:val="center"/>
            <w:shd w:val="clear" w:fill="F3F6F8"/>
            <w:noWrap/>
          </w:tcPr>
          <w:p>
            <w:pPr>
              <w:spacing w:after="0"/>
            </w:pPr>
            <w:r>
              <w:rPr>
                <w:color w:val="102A43"/>
                <w:sz w:val="18"/>
                <w:szCs w:val="18"/>
              </w:rPr>
              <w:t xml:space="preserve">Contoso-Prod-001</w:t>
            </w:r>
          </w:p>
        </w:tc>
        <w:tc>
          <w:tcPr>
            <w:tcW w:w="2900" w:type="dxa"/>
            <w:vAlign w:val="center"/>
            <w:shd w:val="clear" w:fill="F3F6F8"/>
            <w:noWrap/>
          </w:tcPr>
          <w:p>
            <w:pPr>
              <w:spacing w:after="0"/>
            </w:pPr>
            <w:r>
              <w:rPr>
                <w:color w:val="102A43"/>
                <w:sz w:val="18"/>
                <w:szCs w:val="18"/>
              </w:rPr>
              <w:t xml:space="preserve">rg-api-prod</w:t>
            </w:r>
          </w:p>
        </w:tc>
      </w:tr>
      <w:tr>
        <w:trPr>
          <w:trHeight w:val="300" w:hRule="atLeast"/>
          <w:cantSplit w:val="1"/>
        </w:trPr>
        <w:tc>
          <w:tcPr>
            <w:tcW w:w="3200" w:type="dxa"/>
            <w:vAlign w:val="center"/>
            <w:shd w:val="clear" w:fill="FFFFFF"/>
            <w:noWrap/>
          </w:tcPr>
          <w:p>
            <w:pPr>
              <w:spacing w:after="0"/>
            </w:pPr>
            <w:r>
              <w:rPr>
                <w:color w:val="102A43"/>
                <w:sz w:val="18"/>
                <w:szCs w:val="18"/>
              </w:rPr>
              <w:t xml:space="preserve">vm-worker-prod-01</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rg-platform-prod</w:t>
            </w:r>
          </w:p>
        </w:tc>
      </w:tr>
    </w:tbl>
    <w:p>
      <w:pPr>
        <w:pStyle w:val="ReportLabel"/>
      </w:pPr>
      <w:r>
        <w:rPr/>
        <w:t xml:space="preserve">Business Impact</w:t>
      </w:r>
    </w:p>
    <w:p>
      <w:pPr>
        <w:spacing w:after="120"/>
      </w:pPr>
      <w:r>
        <w:rPr>
          <w:color w:val="102A43"/>
          <w:sz w:val="22"/>
          <w:szCs w:val="22"/>
        </w:rPr>
        <w:t xml:space="preserve">Data loss risk for workloads without backup coverage; no recovery point available in a failure scenario.</w:t>
      </w:r>
    </w:p>
    <w:p>
      <w:pPr>
        <w:pStyle w:val="ReportLabel"/>
      </w:pPr>
      <w:r>
        <w:rPr/>
        <w:t xml:space="preserve">Remediation Guidance</w:t>
      </w:r>
    </w:p>
    <w:p>
      <w:pPr>
        <w:spacing w:after="120"/>
      </w:pPr>
      <w:r>
        <w:rPr>
          <w:color w:val="102A43"/>
          <w:sz w:val="22"/>
          <w:szCs w:val="22"/>
        </w:rPr>
        <w:t xml:space="preserve">Configure Azure Backup for all production virtual machines. Define a recovery point objective aligned to business requirements.</w:t>
      </w:r>
    </w:p>
    <w:p>
      <w:pPr>
        <w:spacing w:after="0"/>
      </w:pPr>
      <w:r>
        <w:rPr/>
        <w:t xml:space="preserve"/>
      </w:r>
    </w:p>
    <w:p>
      <w:pPr>
        <w:spacing w:after="80"/>
      </w:pPr>
      <w:r>
        <w:rPr/>
        <w:t xml:space="preserve"/>
      </w:r>
    </w:p>
    <w:p>
      <w:pPr>
        <w:keepNext w:val="1"/>
        <w:spacing w:before="220" w:after="40"/>
      </w:pPr>
      <w:r>
        <w:rPr>
          <w:sz w:val="4"/>
          <w:szCs w:val="4"/>
        </w:rPr>
        <w:t xml:space="preserve"/>
      </w:r>
    </w:p>
    <w:tbl>
      <w:tblGrid>
        <w:gridCol w:w="900" w:type="dxa"/>
        <w:gridCol w:w="6500" w:type="dxa"/>
        <w:gridCol w:w="1600" w:type="dxa"/>
      </w:tblGrid>
      <w:tblPr>
        <w:tblW w:w="9000" w:type="dxa"/>
        <w:tblInd w:w="150" w:type="dxa"/>
        <w:tblLayout w:type="fixed"/>
        <w:tblCellMar>
          <w:top w:w="150" w:type="dxa"/>
          <w:left w:w="150" w:type="dxa"/>
          <w:right w:w="150" w:type="dxa"/>
          <w:bottom w:w="15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cantSplit w:val="1"/>
        </w:trPr>
        <w:tc>
          <w:tcPr>
            <w:tcW w:w="900" w:type="dxa"/>
            <w:vAlign w:val="center"/>
            <w:shd w:val="clear" w:fill="102A43"/>
            <w:noWrap/>
          </w:tcPr>
          <w:p>
            <w:pPr>
              <w:keepNext w:val="1"/>
              <w:jc w:val="center"/>
              <w:spacing w:after="20"/>
            </w:pPr>
            <w:r>
              <w:rPr>
                <w:color w:val="65DDD1"/>
                <w:sz w:val="26"/>
                <w:szCs w:val="26"/>
                <w:b w:val="1"/>
                <w:bCs w:val="1"/>
              </w:rPr>
              <w:t xml:space="preserve">F05</w:t>
            </w:r>
          </w:p>
          <w:p>
            <w:pPr>
              <w:keepNext w:val="1"/>
              <w:jc w:val="center"/>
              <w:spacing w:after="0"/>
            </w:pPr>
            <w:r>
              <w:rPr>
                <w:color w:val="C4D5E4"/>
                <w:sz w:val="14"/>
                <w:szCs w:val="14"/>
                <w:b w:val="1"/>
                <w:bCs w:val="1"/>
              </w:rPr>
              <w:t xml:space="preserve">FINDING</w:t>
            </w:r>
          </w:p>
        </w:tc>
        <w:tc>
          <w:tcPr>
            <w:tcW w:w="6500" w:type="dxa"/>
            <w:vAlign w:val="center"/>
            <w:shd w:val="clear" w:fill="102A43"/>
            <w:noWrap/>
          </w:tcPr>
          <w:p>
            <w:pPr>
              <w:keepNext w:val="1"/>
              <w:spacing w:after="45"/>
            </w:pPr>
            <w:r>
              <w:rPr>
                <w:color w:val="FFFFFF"/>
                <w:sz w:val="22"/>
                <w:szCs w:val="22"/>
                <w:b w:val="1"/>
                <w:bCs w:val="1"/>
              </w:rPr>
              <w:t xml:space="preserve">Network Security Groups missing flow log configuration</w:t>
            </w:r>
          </w:p>
          <w:p>
            <w:pPr>
              <w:keepNext w:val="1"/>
              <w:spacing w:after="0"/>
            </w:pPr>
            <w:r>
              <w:rPr>
                <w:color w:val="C4D5E4"/>
                <w:sz w:val="16"/>
                <w:szCs w:val="16"/>
              </w:rPr>
              <w:t xml:space="preserve">Operational Excellence  /  Microsoft.Network/network Security Groups</w:t>
            </w:r>
          </w:p>
        </w:tc>
        <w:tc>
          <w:tcPr>
            <w:tcW w:w="1600" w:type="dxa"/>
            <w:vAlign w:val="center"/>
            <w:shd w:val="clear" w:fill="FBF3DC"/>
            <w:noWrap/>
          </w:tcPr>
          <w:p>
            <w:pPr>
              <w:keepNext w:val="1"/>
              <w:jc w:val="center"/>
              <w:spacing w:after="35"/>
            </w:pPr>
            <w:r>
              <w:rPr>
                <w:color w:val="806013"/>
                <w:sz w:val="20"/>
                <w:szCs w:val="20"/>
                <w:b w:val="1"/>
                <w:bCs w:val="1"/>
              </w:rPr>
              <w:t xml:space="preserve">MEDIUM</w:t>
            </w:r>
          </w:p>
          <w:p>
            <w:pPr>
              <w:keepNext w:val="1"/>
              <w:jc w:val="center"/>
              <w:spacing w:after="0"/>
            </w:pPr>
            <w:r>
              <w:rPr>
                <w:color w:val="806013"/>
                <w:sz w:val="16"/>
                <w:szCs w:val="16"/>
                <w:b w:val="1"/>
                <w:bCs w:val="1"/>
              </w:rPr>
              <w:t xml:space="preserve">1</w:t>
            </w:r>
          </w:p>
        </w:tc>
      </w:tr>
    </w:tbl>
    <w:p>
      <w:pPr>
        <w:pStyle w:val="ReportLabel"/>
      </w:pPr>
      <w:r>
        <w:rPr/>
        <w:t xml:space="preserve">Impact Scope</w:t>
      </w:r>
    </w:p>
    <w:p>
      <w:pPr>
        <w:spacing w:after="120"/>
      </w:pPr>
      <w:r>
        <w:rPr>
          <w:color w:val="102A43"/>
          <w:sz w:val="22"/>
          <w:szCs w:val="22"/>
        </w:rPr>
        <w:t xml:space="preserve">4 resources | 1 subscription | 1 resource group</w:t>
      </w:r>
    </w:p>
    <w:p>
      <w:pPr>
        <w:pStyle w:val="ReportLabel"/>
      </w:pPr>
      <w:r>
        <w:rPr/>
        <w:t xml:space="preserve">Affected Resources</w:t>
      </w:r>
    </w:p>
    <w:tbl>
      <w:tblGrid>
        <w:gridCol w:w="3200" w:type="dxa"/>
        <w:gridCol w:w="2900" w:type="dxa"/>
        <w:gridCol w:w="2900" w:type="dxa"/>
      </w:tblGrid>
      <w:tblPr>
        <w:tblW w:w="900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00" w:hRule="atLeast"/>
          <w:tblHeader w:val="1"/>
          <w:cantSplit w:val="1"/>
        </w:trPr>
        <w:tc>
          <w:tcPr>
            <w:tcW w:w="3200" w:type="dxa"/>
            <w:vAlign w:val="center"/>
            <w:shd w:val="clear" w:fill="E6F3F4"/>
            <w:noWrap/>
          </w:tcPr>
          <w:p>
            <w:pPr>
              <w:spacing w:after="0"/>
            </w:pPr>
            <w:r>
              <w:rPr>
                <w:color w:val="102A43"/>
                <w:sz w:val="16"/>
                <w:szCs w:val="16"/>
                <w:b w:val="1"/>
                <w:bCs w:val="1"/>
              </w:rPr>
              <w:t xml:space="preserve">RESOURCE</w:t>
            </w:r>
          </w:p>
        </w:tc>
        <w:tc>
          <w:tcPr>
            <w:tcW w:w="2900" w:type="dxa"/>
            <w:vAlign w:val="center"/>
            <w:shd w:val="clear" w:fill="E6F3F4"/>
            <w:noWrap/>
          </w:tcPr>
          <w:p>
            <w:pPr>
              <w:spacing w:after="0"/>
            </w:pPr>
            <w:r>
              <w:rPr>
                <w:color w:val="102A43"/>
                <w:sz w:val="16"/>
                <w:szCs w:val="16"/>
                <w:b w:val="1"/>
                <w:bCs w:val="1"/>
              </w:rPr>
              <w:t xml:space="preserve">SUBSCRIPTION</w:t>
            </w:r>
          </w:p>
        </w:tc>
        <w:tc>
          <w:tcPr>
            <w:tcW w:w="2900" w:type="dxa"/>
            <w:vAlign w:val="center"/>
            <w:shd w:val="clear" w:fill="E6F3F4"/>
            <w:noWrap/>
          </w:tcPr>
          <w:p>
            <w:pPr>
              <w:spacing w:after="0"/>
            </w:pPr>
            <w:r>
              <w:rPr>
                <w:color w:val="102A43"/>
                <w:sz w:val="16"/>
                <w:szCs w:val="16"/>
                <w:b w:val="1"/>
                <w:bCs w:val="1"/>
              </w:rPr>
              <w:t xml:space="preserve">RESOURCE GROUP</w:t>
            </w:r>
          </w:p>
        </w:tc>
      </w:tr>
      <w:tr>
        <w:trPr>
          <w:trHeight w:val="300" w:hRule="atLeast"/>
          <w:cantSplit w:val="1"/>
        </w:trPr>
        <w:tc>
          <w:tcPr>
            <w:tcW w:w="3200" w:type="dxa"/>
            <w:vAlign w:val="center"/>
            <w:shd w:val="clear" w:fill="FFFFFF"/>
            <w:noWrap/>
          </w:tcPr>
          <w:p>
            <w:pPr>
              <w:spacing w:after="0"/>
            </w:pPr>
            <w:r>
              <w:rPr>
                <w:color w:val="102A43"/>
                <w:sz w:val="18"/>
                <w:szCs w:val="18"/>
              </w:rPr>
              <w:t xml:space="preserve">nsg-web-prod</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rg-network-prod</w:t>
            </w:r>
          </w:p>
        </w:tc>
      </w:tr>
      <w:tr>
        <w:trPr>
          <w:trHeight w:val="300" w:hRule="atLeast"/>
          <w:cantSplit w:val="1"/>
        </w:trPr>
        <w:tc>
          <w:tcPr>
            <w:tcW w:w="3200" w:type="dxa"/>
            <w:vAlign w:val="center"/>
            <w:shd w:val="clear" w:fill="F3F6F8"/>
            <w:noWrap/>
          </w:tcPr>
          <w:p>
            <w:pPr>
              <w:spacing w:after="0"/>
            </w:pPr>
            <w:r>
              <w:rPr>
                <w:color w:val="102A43"/>
                <w:sz w:val="18"/>
                <w:szCs w:val="18"/>
              </w:rPr>
              <w:t xml:space="preserve">nsg-api-prod</w:t>
            </w:r>
          </w:p>
        </w:tc>
        <w:tc>
          <w:tcPr>
            <w:tcW w:w="2900" w:type="dxa"/>
            <w:vAlign w:val="center"/>
            <w:shd w:val="clear" w:fill="F3F6F8"/>
            <w:noWrap/>
          </w:tcPr>
          <w:p>
            <w:pPr>
              <w:spacing w:after="0"/>
            </w:pPr>
            <w:r>
              <w:rPr>
                <w:color w:val="102A43"/>
                <w:sz w:val="18"/>
                <w:szCs w:val="18"/>
              </w:rPr>
              <w:t xml:space="preserve">Contoso-Prod-001</w:t>
            </w:r>
          </w:p>
        </w:tc>
        <w:tc>
          <w:tcPr>
            <w:tcW w:w="2900" w:type="dxa"/>
            <w:vAlign w:val="center"/>
            <w:shd w:val="clear" w:fill="F3F6F8"/>
            <w:noWrap/>
          </w:tcPr>
          <w:p>
            <w:pPr>
              <w:spacing w:after="0"/>
            </w:pPr>
            <w:r>
              <w:rPr>
                <w:color w:val="102A43"/>
                <w:sz w:val="18"/>
                <w:szCs w:val="18"/>
              </w:rPr>
              <w:t xml:space="preserve">rg-network-prod</w:t>
            </w:r>
          </w:p>
        </w:tc>
      </w:tr>
      <w:tr>
        <w:trPr>
          <w:trHeight w:val="300" w:hRule="atLeast"/>
          <w:cantSplit w:val="1"/>
        </w:trPr>
        <w:tc>
          <w:tcPr>
            <w:tcW w:w="3200" w:type="dxa"/>
            <w:vAlign w:val="center"/>
            <w:shd w:val="clear" w:fill="FFFFFF"/>
            <w:noWrap/>
          </w:tcPr>
          <w:p>
            <w:pPr>
              <w:spacing w:after="0"/>
            </w:pPr>
            <w:r>
              <w:rPr>
                <w:color w:val="102A43"/>
                <w:sz w:val="18"/>
                <w:szCs w:val="18"/>
              </w:rPr>
              <w:t xml:space="preserve">nsg-data-prod</w:t>
            </w:r>
          </w:p>
        </w:tc>
        <w:tc>
          <w:tcPr>
            <w:tcW w:w="2900" w:type="dxa"/>
            <w:vAlign w:val="center"/>
            <w:shd w:val="clear" w:fill="FFFFFF"/>
            <w:noWrap/>
          </w:tcPr>
          <w:p>
            <w:pPr>
              <w:spacing w:after="0"/>
            </w:pPr>
            <w:r>
              <w:rPr>
                <w:color w:val="102A43"/>
                <w:sz w:val="18"/>
                <w:szCs w:val="18"/>
              </w:rPr>
              <w:t xml:space="preserve">Contoso-Prod-001</w:t>
            </w:r>
          </w:p>
        </w:tc>
        <w:tc>
          <w:tcPr>
            <w:tcW w:w="2900" w:type="dxa"/>
            <w:vAlign w:val="center"/>
            <w:shd w:val="clear" w:fill="FFFFFF"/>
            <w:noWrap/>
          </w:tcPr>
          <w:p>
            <w:pPr>
              <w:spacing w:after="0"/>
            </w:pPr>
            <w:r>
              <w:rPr>
                <w:color w:val="102A43"/>
                <w:sz w:val="18"/>
                <w:szCs w:val="18"/>
              </w:rPr>
              <w:t xml:space="preserve">rg-network-prod</w:t>
            </w:r>
          </w:p>
        </w:tc>
      </w:tr>
      <w:tr>
        <w:trPr>
          <w:trHeight w:val="300" w:hRule="atLeast"/>
          <w:cantSplit w:val="1"/>
        </w:trPr>
        <w:tc>
          <w:tcPr>
            <w:tcW w:w="3200" w:type="dxa"/>
            <w:vAlign w:val="center"/>
            <w:shd w:val="clear" w:fill="F3F6F8"/>
            <w:noWrap/>
          </w:tcPr>
          <w:p>
            <w:pPr>
              <w:spacing w:after="0"/>
            </w:pPr>
            <w:r>
              <w:rPr>
                <w:color w:val="102A43"/>
                <w:sz w:val="18"/>
                <w:szCs w:val="18"/>
              </w:rPr>
              <w:t xml:space="preserve">nsg-shared-prod</w:t>
            </w:r>
          </w:p>
        </w:tc>
        <w:tc>
          <w:tcPr>
            <w:tcW w:w="2900" w:type="dxa"/>
            <w:vAlign w:val="center"/>
            <w:shd w:val="clear" w:fill="F3F6F8"/>
            <w:noWrap/>
          </w:tcPr>
          <w:p>
            <w:pPr>
              <w:spacing w:after="0"/>
            </w:pPr>
            <w:r>
              <w:rPr>
                <w:color w:val="102A43"/>
                <w:sz w:val="18"/>
                <w:szCs w:val="18"/>
              </w:rPr>
              <w:t xml:space="preserve">Contoso-Prod-001</w:t>
            </w:r>
          </w:p>
        </w:tc>
        <w:tc>
          <w:tcPr>
            <w:tcW w:w="2900" w:type="dxa"/>
            <w:vAlign w:val="center"/>
            <w:shd w:val="clear" w:fill="F3F6F8"/>
            <w:noWrap/>
          </w:tcPr>
          <w:p>
            <w:pPr>
              <w:spacing w:after="0"/>
            </w:pPr>
            <w:r>
              <w:rPr>
                <w:color w:val="102A43"/>
                <w:sz w:val="18"/>
                <w:szCs w:val="18"/>
              </w:rPr>
              <w:t xml:space="preserve">rg-network-prod</w:t>
            </w:r>
          </w:p>
        </w:tc>
      </w:tr>
    </w:tbl>
    <w:p>
      <w:pPr>
        <w:pStyle w:val="ReportLabel"/>
      </w:pPr>
      <w:r>
        <w:rPr/>
        <w:t xml:space="preserve">Business Impact</w:t>
      </w:r>
    </w:p>
    <w:p>
      <w:pPr>
        <w:spacing w:after="120"/>
      </w:pPr>
      <w:r>
        <w:rPr>
          <w:color w:val="102A43"/>
          <w:sz w:val="22"/>
          <w:szCs w:val="22"/>
        </w:rPr>
        <w:t xml:space="preserve">Limited visibility into traffic patterns and potential lateral movement within the network.</w:t>
      </w:r>
    </w:p>
    <w:p>
      <w:pPr>
        <w:pStyle w:val="ReportLabel"/>
      </w:pPr>
      <w:r>
        <w:rPr/>
        <w:t xml:space="preserve">Remediation Guidance</w:t>
      </w:r>
    </w:p>
    <w:p>
      <w:pPr>
        <w:spacing w:after="120"/>
      </w:pPr>
      <w:r>
        <w:rPr>
          <w:color w:val="102A43"/>
          <w:sz w:val="22"/>
          <w:szCs w:val="22"/>
        </w:rPr>
        <w:t xml:space="preserve">Enable NSG flow logs and configure retention in a storage account or Log Analytics workspace.</w:t>
      </w:r>
    </w:p>
    <w:p>
      <w:pPr>
        <w:spacing w:after="0"/>
      </w:pPr>
      <w:r>
        <w:rPr/>
        <w:t xml:space="preserve"/>
      </w:r>
    </w:p>
    <w:p>
      <w:pPr>
        <w:spacing w:after="80"/>
      </w:pPr>
      <w:r>
        <w:rPr/>
        <w:t xml:space="preserve"/>
      </w:r>
    </w:p>
    <w:p>
      <w:pPr>
        <w:pStyle w:val="Heading1"/>
      </w:pPr>
      <w:bookmarkStart w:id="43" w:name="_Toc43"/>
      <w:r>
        <w:t>Glossary &amp; Reference</w:t>
      </w:r>
      <w:bookmarkEnd w:id="43"/>
    </w:p>
    <w:p>
      <w:pPr>
        <w:keepNext w:val="1"/>
        <w:spacing w:before="0" w:after="90"/>
        <w:pBdr>
          <w:bottom w:val="single" w:sz="8" w:color="007F95"/>
        </w:pBdr>
      </w:pPr>
      <w:r>
        <w:rPr>
          <w:sz w:val="8"/>
          <w:szCs w:val="8"/>
        </w:rPr>
        <w:t xml:space="preserve"/>
      </w:r>
    </w:p>
    <w:p>
      <w:pPr>
        <w:spacing w:after="200"/>
      </w:pPr>
      <w:r>
        <w:rPr>
          <w:sz w:val="22"/>
          <w:szCs w:val="22"/>
        </w:rPr>
        <w:t xml:space="preserve">This glossary defines the terminology, scoring system, and domain categories used throughout this report.</w:t>
      </w:r>
    </w:p>
    <w:p>
      <w:pPr>
        <w:pStyle w:val="Heading3"/>
      </w:pPr>
      <w:bookmarkStart w:id="44" w:name="_Toc44"/>
      <w:r>
        <w:t>Severity Levels</w:t>
      </w:r>
      <w:bookmarkEnd w:id="44"/>
    </w:p>
    <w:p>
      <w:pPr>
        <w:spacing w:after="60"/>
      </w:pPr>
      <w:r>
        <w:rPr/>
        <w:t xml:space="preserve"/>
      </w:r>
    </w:p>
    <w:tbl>
      <w:tblGrid>
        <w:gridCol w:w="1400" w:type="dxa"/>
        <w:gridCol w:w="4200" w:type="dxa"/>
        <w:gridCol w:w="34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1400" w:type="dxa"/>
            <w:vAlign w:val="center"/>
            <w:shd w:val="clear" w:fill="102A43"/>
            <w:noWrap/>
          </w:tcPr>
          <w:p>
            <w:pPr>
              <w:spacing w:after="0"/>
            </w:pPr>
            <w:r>
              <w:rPr>
                <w:rFonts w:ascii="Calibri" w:hAnsi="Calibri" w:eastAsia="Calibri" w:cs="Calibri"/>
                <w:color w:val="FFFFFF"/>
                <w:sz w:val="18"/>
                <w:szCs w:val="18"/>
                <w:b w:val="1"/>
                <w:bCs w:val="1"/>
              </w:rPr>
              <w:t xml:space="preserve">Severity</w:t>
            </w:r>
          </w:p>
        </w:tc>
        <w:tc>
          <w:tcPr>
            <w:tcW w:w="4200" w:type="dxa"/>
            <w:vAlign w:val="center"/>
            <w:shd w:val="clear" w:fill="102A43"/>
            <w:noWrap/>
          </w:tcPr>
          <w:p>
            <w:pPr>
              <w:spacing w:after="0"/>
            </w:pPr>
            <w:r>
              <w:rPr>
                <w:rFonts w:ascii="Calibri" w:hAnsi="Calibri" w:eastAsia="Calibri" w:cs="Calibri"/>
                <w:color w:val="FFFFFF"/>
                <w:sz w:val="18"/>
                <w:szCs w:val="18"/>
                <w:b w:val="1"/>
                <w:bCs w:val="1"/>
              </w:rPr>
              <w:t xml:space="preserve">Description</w:t>
            </w:r>
          </w:p>
        </w:tc>
        <w:tc>
          <w:tcPr>
            <w:tcW w:w="3400" w:type="dxa"/>
            <w:vAlign w:val="center"/>
            <w:shd w:val="clear" w:fill="102A43"/>
            <w:noWrap/>
          </w:tcPr>
          <w:p>
            <w:pPr>
              <w:spacing w:after="0"/>
            </w:pPr>
            <w:r>
              <w:rPr>
                <w:rFonts w:ascii="Calibri" w:hAnsi="Calibri" w:eastAsia="Calibri" w:cs="Calibri"/>
                <w:color w:val="FFFFFF"/>
                <w:sz w:val="18"/>
                <w:szCs w:val="18"/>
                <w:b w:val="1"/>
                <w:bCs w:val="1"/>
              </w:rPr>
              <w:t xml:space="preserve">Typical Response</w:t>
            </w:r>
          </w:p>
        </w:tc>
      </w:tr>
      <w:tr>
        <w:trPr>
          <w:trHeight w:val="360" w:hRule="atLeast"/>
        </w:trPr>
        <w:tc>
          <w:tcPr>
            <w:tcW w:w="1400" w:type="dxa"/>
            <w:vAlign w:val="center"/>
            <w:shd w:val="clear" w:fill="A42638"/>
            <w:noWrap/>
          </w:tcPr>
          <w:p>
            <w:pPr>
              <w:jc w:val="center"/>
              <w:spacing w:after="0"/>
            </w:pPr>
            <w:r>
              <w:rPr>
                <w:color w:val="FFFFFF"/>
                <w:sz w:val="22"/>
                <w:szCs w:val="22"/>
                <w:b w:val="1"/>
                <w:bCs w:val="1"/>
              </w:rPr>
              <w:t xml:space="preserve">Critical</w:t>
            </w:r>
          </w:p>
        </w:tc>
        <w:tc>
          <w:tcPr>
            <w:tcW w:w="4200" w:type="dxa"/>
            <w:vAlign w:val="center"/>
            <w:noWrap/>
          </w:tcPr>
          <w:p>
            <w:pPr>
              <w:spacing w:after="0"/>
            </w:pPr>
            <w:r>
              <w:rPr>
                <w:sz w:val="22"/>
                <w:szCs w:val="22"/>
              </w:rPr>
              <w:t xml:space="preserve">Systems are actively exposed to critical risk, data may be compromised, or a major compliance violation exists.</w:t>
            </w:r>
          </w:p>
        </w:tc>
        <w:tc>
          <w:tcPr>
            <w:tcW w:w="3400" w:type="dxa"/>
            <w:vAlign w:val="center"/>
            <w:noWrap/>
          </w:tcPr>
          <w:p>
            <w:pPr>
              <w:spacing w:after="0"/>
            </w:pPr>
            <w:r>
              <w:rPr>
                <w:sz w:val="22"/>
                <w:szCs w:val="22"/>
              </w:rPr>
              <w:t xml:space="preserve">Immediate action required — remediate within 24–48 hours.</w:t>
            </w:r>
          </w:p>
        </w:tc>
      </w:tr>
      <w:tr>
        <w:trPr>
          <w:trHeight w:val="360" w:hRule="atLeast"/>
        </w:trPr>
        <w:tc>
          <w:tcPr>
            <w:tcW w:w="1400" w:type="dxa"/>
            <w:vAlign w:val="center"/>
            <w:shd w:val="clear" w:fill="9A4D15"/>
            <w:noWrap/>
          </w:tcPr>
          <w:p>
            <w:pPr>
              <w:jc w:val="center"/>
              <w:spacing w:after="0"/>
            </w:pPr>
            <w:r>
              <w:rPr>
                <w:color w:val="FFFFFF"/>
                <w:sz w:val="22"/>
                <w:szCs w:val="22"/>
                <w:b w:val="1"/>
                <w:bCs w:val="1"/>
              </w:rPr>
              <w:t xml:space="preserve">High</w:t>
            </w:r>
          </w:p>
        </w:tc>
        <w:tc>
          <w:tcPr>
            <w:tcW w:w="4200" w:type="dxa"/>
            <w:vAlign w:val="center"/>
            <w:noWrap/>
          </w:tcPr>
          <w:p>
            <w:pPr>
              <w:spacing w:after="0"/>
            </w:pPr>
            <w:r>
              <w:rPr>
                <w:sz w:val="22"/>
                <w:szCs w:val="22"/>
              </w:rPr>
              <w:t xml:space="preserve">Significant vulnerabilities or misconfigurations that materially increase risk or deviate from best practice.</w:t>
            </w:r>
          </w:p>
        </w:tc>
        <w:tc>
          <w:tcPr>
            <w:tcW w:w="3400" w:type="dxa"/>
            <w:vAlign w:val="center"/>
            <w:noWrap/>
          </w:tcPr>
          <w:p>
            <w:pPr>
              <w:spacing w:after="0"/>
            </w:pPr>
            <w:r>
              <w:rPr>
                <w:sz w:val="22"/>
                <w:szCs w:val="22"/>
              </w:rPr>
              <w:t xml:space="preserve">Prioritise for remediation within 2 weeks.</w:t>
            </w:r>
          </w:p>
        </w:tc>
      </w:tr>
      <w:tr>
        <w:trPr>
          <w:trHeight w:val="360" w:hRule="atLeast"/>
        </w:trPr>
        <w:tc>
          <w:tcPr>
            <w:tcW w:w="1400" w:type="dxa"/>
            <w:vAlign w:val="center"/>
            <w:shd w:val="clear" w:fill="FBF3DC"/>
            <w:noWrap/>
          </w:tcPr>
          <w:p>
            <w:pPr>
              <w:jc w:val="center"/>
              <w:spacing w:after="0"/>
            </w:pPr>
            <w:r>
              <w:rPr>
                <w:color w:val="806013"/>
                <w:sz w:val="22"/>
                <w:szCs w:val="22"/>
                <w:b w:val="1"/>
                <w:bCs w:val="1"/>
              </w:rPr>
              <w:t xml:space="preserve">Medium</w:t>
            </w:r>
          </w:p>
        </w:tc>
        <w:tc>
          <w:tcPr>
            <w:tcW w:w="4200" w:type="dxa"/>
            <w:vAlign w:val="center"/>
            <w:noWrap/>
          </w:tcPr>
          <w:p>
            <w:pPr>
              <w:spacing w:after="0"/>
            </w:pPr>
            <w:r>
              <w:rPr>
                <w:sz w:val="22"/>
                <w:szCs w:val="22"/>
              </w:rPr>
              <w:t xml:space="preserve">Configuration gaps or sub-optimal settings that increase risk or reduce operational efficiency.</w:t>
            </w:r>
          </w:p>
        </w:tc>
        <w:tc>
          <w:tcPr>
            <w:tcW w:w="3400" w:type="dxa"/>
            <w:vAlign w:val="center"/>
            <w:noWrap/>
          </w:tcPr>
          <w:p>
            <w:pPr>
              <w:spacing w:after="0"/>
            </w:pPr>
            <w:r>
              <w:rPr>
                <w:sz w:val="22"/>
                <w:szCs w:val="22"/>
              </w:rPr>
              <w:t xml:space="preserve">Address as part of the next planned improvement cycle.</w:t>
            </w:r>
          </w:p>
        </w:tc>
      </w:tr>
      <w:tr>
        <w:trPr>
          <w:trHeight w:val="360" w:hRule="atLeast"/>
        </w:trPr>
        <w:tc>
          <w:tcPr>
            <w:tcW w:w="1400" w:type="dxa"/>
            <w:vAlign w:val="center"/>
            <w:shd w:val="clear" w:fill="E8F3ED"/>
            <w:noWrap/>
          </w:tcPr>
          <w:p>
            <w:pPr>
              <w:jc w:val="center"/>
              <w:spacing w:after="0"/>
            </w:pPr>
            <w:r>
              <w:rPr>
                <w:color w:val="256451"/>
                <w:sz w:val="22"/>
                <w:szCs w:val="22"/>
                <w:b w:val="1"/>
                <w:bCs w:val="1"/>
              </w:rPr>
              <w:t xml:space="preserve">Low</w:t>
            </w:r>
          </w:p>
        </w:tc>
        <w:tc>
          <w:tcPr>
            <w:tcW w:w="4200" w:type="dxa"/>
            <w:vAlign w:val="center"/>
            <w:noWrap/>
          </w:tcPr>
          <w:p>
            <w:pPr>
              <w:spacing w:after="0"/>
            </w:pPr>
            <w:r>
              <w:rPr>
                <w:sz w:val="22"/>
                <w:szCs w:val="22"/>
              </w:rPr>
              <w:t xml:space="preserve">Minor improvements, cosmetic deviations, or best-practice enhancements that have low risk impact.</w:t>
            </w:r>
          </w:p>
        </w:tc>
        <w:tc>
          <w:tcPr>
            <w:tcW w:w="3400" w:type="dxa"/>
            <w:vAlign w:val="center"/>
            <w:noWrap/>
          </w:tcPr>
          <w:p>
            <w:pPr>
              <w:spacing w:after="0"/>
            </w:pPr>
            <w:r>
              <w:rPr>
                <w:sz w:val="22"/>
                <w:szCs w:val="22"/>
              </w:rPr>
              <w:t xml:space="preserve">Track and address as part of ongoing hygiene activities.</w:t>
            </w:r>
          </w:p>
        </w:tc>
      </w:tr>
      <w:tr>
        <w:trPr>
          <w:trHeight w:val="360" w:hRule="atLeast"/>
        </w:trPr>
        <w:tc>
          <w:tcPr>
            <w:tcW w:w="1400" w:type="dxa"/>
            <w:vAlign w:val="center"/>
            <w:shd w:val="clear" w:fill="F3F6F8"/>
            <w:noWrap/>
          </w:tcPr>
          <w:p>
            <w:pPr>
              <w:jc w:val="center"/>
              <w:spacing w:after="0"/>
            </w:pPr>
            <w:r>
              <w:rPr>
                <w:color w:val="52627A"/>
                <w:sz w:val="22"/>
                <w:szCs w:val="22"/>
                <w:b w:val="1"/>
                <w:bCs w:val="1"/>
              </w:rPr>
              <w:t xml:space="preserve">Informational</w:t>
            </w:r>
          </w:p>
        </w:tc>
        <w:tc>
          <w:tcPr>
            <w:tcW w:w="4200" w:type="dxa"/>
            <w:vAlign w:val="center"/>
            <w:noWrap/>
          </w:tcPr>
          <w:p>
            <w:pPr>
              <w:spacing w:after="0"/>
            </w:pPr>
            <w:r>
              <w:rPr>
                <w:sz w:val="22"/>
                <w:szCs w:val="22"/>
              </w:rPr>
              <w:t xml:space="preserve">Observations that do not represent active risk but provide useful context for the assessor or customer.</w:t>
            </w:r>
          </w:p>
        </w:tc>
        <w:tc>
          <w:tcPr>
            <w:tcW w:w="3400" w:type="dxa"/>
            <w:vAlign w:val="center"/>
            <w:noWrap/>
          </w:tcPr>
          <w:p>
            <w:pPr>
              <w:spacing w:after="0"/>
            </w:pPr>
            <w:r>
              <w:rPr>
                <w:sz w:val="22"/>
                <w:szCs w:val="22"/>
              </w:rPr>
              <w:t xml:space="preserve">Review for awareness; no remediation required.</w:t>
            </w:r>
          </w:p>
        </w:tc>
      </w:tr>
    </w:tbl>
    <w:p>
      <w:pPr>
        <w:spacing w:after="200"/>
      </w:pPr>
      <w:r>
        <w:rPr/>
        <w:t xml:space="preserve"/>
      </w:r>
    </w:p>
    <w:p>
      <w:pPr>
        <w:pStyle w:val="Heading3"/>
      </w:pPr>
      <w:bookmarkStart w:id="45" w:name="_Toc45"/>
      <w:r>
        <w:t>Priority Codes</w:t>
      </w:r>
      <w:bookmarkEnd w:id="45"/>
    </w:p>
    <w:p>
      <w:pPr>
        <w:spacing w:after="60"/>
      </w:pPr>
      <w:r>
        <w:rPr/>
        <w:t xml:space="preserve"/>
      </w:r>
    </w:p>
    <w:tbl>
      <w:tblGrid>
        <w:gridCol w:w="900" w:type="dxa"/>
        <w:gridCol w:w="1600" w:type="dxa"/>
        <w:gridCol w:w="1900" w:type="dxa"/>
        <w:gridCol w:w="46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900" w:type="dxa"/>
            <w:vAlign w:val="center"/>
            <w:shd w:val="clear" w:fill="102A43"/>
            <w:noWrap/>
          </w:tcPr>
          <w:p>
            <w:pPr>
              <w:spacing w:after="0"/>
            </w:pPr>
            <w:r>
              <w:rPr>
                <w:rFonts w:ascii="Calibri" w:hAnsi="Calibri" w:eastAsia="Calibri" w:cs="Calibri"/>
                <w:color w:val="FFFFFF"/>
                <w:sz w:val="18"/>
                <w:szCs w:val="18"/>
                <w:b w:val="1"/>
                <w:bCs w:val="1"/>
              </w:rPr>
              <w:t xml:space="preserve">Priority</w:t>
            </w:r>
          </w:p>
        </w:tc>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Label</w:t>
            </w:r>
          </w:p>
        </w:tc>
        <w:tc>
          <w:tcPr>
            <w:tcW w:w="1900" w:type="dxa"/>
            <w:vAlign w:val="center"/>
            <w:shd w:val="clear" w:fill="102A43"/>
            <w:noWrap/>
          </w:tcPr>
          <w:p>
            <w:pPr>
              <w:spacing w:after="0"/>
            </w:pPr>
            <w:r>
              <w:rPr>
                <w:rFonts w:ascii="Calibri" w:hAnsi="Calibri" w:eastAsia="Calibri" w:cs="Calibri"/>
                <w:color w:val="FFFFFF"/>
                <w:sz w:val="18"/>
                <w:szCs w:val="18"/>
                <w:b w:val="1"/>
                <w:bCs w:val="1"/>
              </w:rPr>
              <w:t xml:space="preserve">Target Timeline</w:t>
            </w:r>
          </w:p>
        </w:tc>
        <w:tc>
          <w:tcPr>
            <w:tcW w:w="4600" w:type="dxa"/>
            <w:vAlign w:val="center"/>
            <w:shd w:val="clear" w:fill="102A43"/>
            <w:noWrap/>
          </w:tcPr>
          <w:p>
            <w:pPr>
              <w:spacing w:after="0"/>
            </w:pPr>
            <w:r>
              <w:rPr>
                <w:rFonts w:ascii="Calibri" w:hAnsi="Calibri" w:eastAsia="Calibri" w:cs="Calibri"/>
                <w:color w:val="FFFFFF"/>
                <w:sz w:val="18"/>
                <w:szCs w:val="18"/>
                <w:b w:val="1"/>
                <w:bCs w:val="1"/>
              </w:rPr>
              <w:t xml:space="preserve">Description</w:t>
            </w:r>
          </w:p>
        </w:tc>
      </w:tr>
      <w:tr>
        <w:trPr>
          <w:trHeight w:val="360" w:hRule="atLeast"/>
        </w:trPr>
        <w:tc>
          <w:tcPr>
            <w:tcW w:w="900" w:type="dxa"/>
            <w:vAlign w:val="center"/>
            <w:shd w:val="clear" w:fill="A42638"/>
            <w:noWrap/>
          </w:tcPr>
          <w:p>
            <w:pPr>
              <w:jc w:val="center"/>
              <w:spacing w:after="0"/>
            </w:pPr>
            <w:r>
              <w:rPr>
                <w:color w:val="FFFFFF"/>
                <w:sz w:val="22"/>
                <w:szCs w:val="22"/>
                <w:b w:val="1"/>
                <w:bCs w:val="1"/>
              </w:rPr>
              <w:t xml:space="preserve">P1</w:t>
            </w:r>
          </w:p>
        </w:tc>
        <w:tc>
          <w:tcPr>
            <w:tcW w:w="1600" w:type="dxa"/>
            <w:vAlign w:val="center"/>
            <w:noWrap/>
          </w:tcPr>
          <w:p>
            <w:pPr>
              <w:spacing w:after="0"/>
            </w:pPr>
            <w:r>
              <w:rPr>
                <w:sz w:val="22"/>
                <w:szCs w:val="22"/>
                <w:b w:val="1"/>
                <w:bCs w:val="1"/>
              </w:rPr>
              <w:t xml:space="preserve">Immediate</w:t>
            </w:r>
          </w:p>
        </w:tc>
        <w:tc>
          <w:tcPr>
            <w:tcW w:w="1900" w:type="dxa"/>
            <w:vAlign w:val="center"/>
            <w:noWrap/>
          </w:tcPr>
          <w:p>
            <w:pPr>
              <w:spacing w:after="0"/>
            </w:pPr>
            <w:r>
              <w:rPr>
                <w:sz w:val="22"/>
                <w:szCs w:val="22"/>
              </w:rPr>
              <w:t xml:space="preserve">Within 48 hours</w:t>
            </w:r>
          </w:p>
        </w:tc>
        <w:tc>
          <w:tcPr>
            <w:tcW w:w="4600" w:type="dxa"/>
            <w:vAlign w:val="center"/>
            <w:noWrap/>
          </w:tcPr>
          <w:p>
            <w:pPr>
              <w:spacing w:after="0"/>
            </w:pPr>
            <w:r>
              <w:rPr>
                <w:sz w:val="22"/>
                <w:szCs w:val="22"/>
              </w:rPr>
              <w:t xml:space="preserve">Critical issues requiring immediate remediation to prevent active exploitation or a compliance breach.</w:t>
            </w:r>
          </w:p>
        </w:tc>
      </w:tr>
      <w:tr>
        <w:trPr>
          <w:trHeight w:val="360" w:hRule="atLeast"/>
        </w:trPr>
        <w:tc>
          <w:tcPr>
            <w:tcW w:w="900" w:type="dxa"/>
            <w:vAlign w:val="center"/>
            <w:shd w:val="clear" w:fill="9A4D15"/>
            <w:noWrap/>
          </w:tcPr>
          <w:p>
            <w:pPr>
              <w:jc w:val="center"/>
              <w:spacing w:after="0"/>
            </w:pPr>
            <w:r>
              <w:rPr>
                <w:color w:val="FFFFFF"/>
                <w:sz w:val="22"/>
                <w:szCs w:val="22"/>
                <w:b w:val="1"/>
                <w:bCs w:val="1"/>
              </w:rPr>
              <w:t xml:space="preserve">P2</w:t>
            </w:r>
          </w:p>
        </w:tc>
        <w:tc>
          <w:tcPr>
            <w:tcW w:w="1600" w:type="dxa"/>
            <w:vAlign w:val="center"/>
            <w:noWrap/>
          </w:tcPr>
          <w:p>
            <w:pPr>
              <w:spacing w:after="0"/>
            </w:pPr>
            <w:r>
              <w:rPr>
                <w:sz w:val="22"/>
                <w:szCs w:val="22"/>
                <w:b w:val="1"/>
                <w:bCs w:val="1"/>
              </w:rPr>
              <w:t xml:space="preserve">High Priority</w:t>
            </w:r>
          </w:p>
        </w:tc>
        <w:tc>
          <w:tcPr>
            <w:tcW w:w="1900" w:type="dxa"/>
            <w:vAlign w:val="center"/>
            <w:noWrap/>
          </w:tcPr>
          <w:p>
            <w:pPr>
              <w:spacing w:after="0"/>
            </w:pPr>
            <w:r>
              <w:rPr>
                <w:sz w:val="22"/>
                <w:szCs w:val="22"/>
              </w:rPr>
              <w:t xml:space="preserve">Within 2 weeks</w:t>
            </w:r>
          </w:p>
        </w:tc>
        <w:tc>
          <w:tcPr>
            <w:tcW w:w="4600" w:type="dxa"/>
            <w:vAlign w:val="center"/>
            <w:noWrap/>
          </w:tcPr>
          <w:p>
            <w:pPr>
              <w:spacing w:after="0"/>
            </w:pPr>
            <w:r>
              <w:rPr>
                <w:sz w:val="22"/>
                <w:szCs w:val="22"/>
              </w:rPr>
              <w:t xml:space="preserve">Significant findings that should be resolved in the near-term to materially reduce risk exposure.</w:t>
            </w:r>
          </w:p>
        </w:tc>
      </w:tr>
      <w:tr>
        <w:trPr>
          <w:trHeight w:val="360" w:hRule="atLeast"/>
        </w:trPr>
        <w:tc>
          <w:tcPr>
            <w:tcW w:w="900" w:type="dxa"/>
            <w:vAlign w:val="center"/>
            <w:shd w:val="clear" w:fill="FBF3DC"/>
            <w:noWrap/>
          </w:tcPr>
          <w:p>
            <w:pPr>
              <w:jc w:val="center"/>
              <w:spacing w:after="0"/>
            </w:pPr>
            <w:r>
              <w:rPr>
                <w:color w:val="806013"/>
                <w:sz w:val="22"/>
                <w:szCs w:val="22"/>
                <w:b w:val="1"/>
                <w:bCs w:val="1"/>
              </w:rPr>
              <w:t xml:space="preserve">P3</w:t>
            </w:r>
          </w:p>
        </w:tc>
        <w:tc>
          <w:tcPr>
            <w:tcW w:w="1600" w:type="dxa"/>
            <w:vAlign w:val="center"/>
            <w:noWrap/>
          </w:tcPr>
          <w:p>
            <w:pPr>
              <w:spacing w:after="0"/>
            </w:pPr>
            <w:r>
              <w:rPr>
                <w:sz w:val="22"/>
                <w:szCs w:val="22"/>
                <w:b w:val="1"/>
                <w:bCs w:val="1"/>
              </w:rPr>
              <w:t xml:space="preserve">Medium Priority</w:t>
            </w:r>
          </w:p>
        </w:tc>
        <w:tc>
          <w:tcPr>
            <w:tcW w:w="1900" w:type="dxa"/>
            <w:vAlign w:val="center"/>
            <w:noWrap/>
          </w:tcPr>
          <w:p>
            <w:pPr>
              <w:spacing w:after="0"/>
            </w:pPr>
            <w:r>
              <w:rPr>
                <w:sz w:val="22"/>
                <w:szCs w:val="22"/>
              </w:rPr>
              <w:t xml:space="preserve">Within 30–90 days</w:t>
            </w:r>
          </w:p>
        </w:tc>
        <w:tc>
          <w:tcPr>
            <w:tcW w:w="4600" w:type="dxa"/>
            <w:vAlign w:val="center"/>
            <w:noWrap/>
          </w:tcPr>
          <w:p>
            <w:pPr>
              <w:spacing w:after="0"/>
            </w:pPr>
            <w:r>
              <w:rPr>
                <w:sz w:val="22"/>
                <w:szCs w:val="22"/>
              </w:rPr>
              <w:t xml:space="preserve">Improvements that should be planned into the next regular review or improvement cycle.</w:t>
            </w:r>
          </w:p>
        </w:tc>
      </w:tr>
      <w:tr>
        <w:trPr>
          <w:trHeight w:val="360" w:hRule="atLeast"/>
        </w:trPr>
        <w:tc>
          <w:tcPr>
            <w:tcW w:w="900" w:type="dxa"/>
            <w:vAlign w:val="center"/>
            <w:shd w:val="clear" w:fill="E8F3ED"/>
            <w:noWrap/>
          </w:tcPr>
          <w:p>
            <w:pPr>
              <w:jc w:val="center"/>
              <w:spacing w:after="0"/>
            </w:pPr>
            <w:r>
              <w:rPr>
                <w:color w:val="256451"/>
                <w:sz w:val="22"/>
                <w:szCs w:val="22"/>
                <w:b w:val="1"/>
                <w:bCs w:val="1"/>
              </w:rPr>
              <w:t xml:space="preserve">P4</w:t>
            </w:r>
          </w:p>
        </w:tc>
        <w:tc>
          <w:tcPr>
            <w:tcW w:w="1600" w:type="dxa"/>
            <w:vAlign w:val="center"/>
            <w:noWrap/>
          </w:tcPr>
          <w:p>
            <w:pPr>
              <w:spacing w:after="0"/>
            </w:pPr>
            <w:r>
              <w:rPr>
                <w:sz w:val="22"/>
                <w:szCs w:val="22"/>
                <w:b w:val="1"/>
                <w:bCs w:val="1"/>
              </w:rPr>
              <w:t xml:space="preserve">Low Priority</w:t>
            </w:r>
          </w:p>
        </w:tc>
        <w:tc>
          <w:tcPr>
            <w:tcW w:w="1900" w:type="dxa"/>
            <w:vAlign w:val="center"/>
            <w:noWrap/>
          </w:tcPr>
          <w:p>
            <w:pPr>
              <w:spacing w:after="0"/>
            </w:pPr>
            <w:r>
              <w:rPr>
                <w:sz w:val="22"/>
                <w:szCs w:val="22"/>
              </w:rPr>
              <w:t xml:space="preserve">Next 6–12 months</w:t>
            </w:r>
          </w:p>
        </w:tc>
        <w:tc>
          <w:tcPr>
            <w:tcW w:w="4600" w:type="dxa"/>
            <w:vAlign w:val="center"/>
            <w:noWrap/>
          </w:tcPr>
          <w:p>
            <w:pPr>
              <w:spacing w:after="0"/>
            </w:pPr>
            <w:r>
              <w:rPr>
                <w:sz w:val="22"/>
                <w:szCs w:val="22"/>
              </w:rPr>
              <w:t xml:space="preserve">Enhancements and hardening opportunities that improve posture incrementally over the longer term.</w:t>
            </w:r>
          </w:p>
        </w:tc>
      </w:tr>
    </w:tbl>
    <w:p>
      <w:pPr>
        <w:spacing w:after="200"/>
      </w:pPr>
      <w:r>
        <w:rPr/>
        <w:t xml:space="preserve"/>
      </w:r>
    </w:p>
    <w:p>
      <w:pPr>
        <w:pStyle w:val="Heading3"/>
      </w:pPr>
      <w:bookmarkStart w:id="46" w:name="_Toc46"/>
      <w:r>
        <w:t>Maturity Levels</w:t>
      </w:r>
      <w:bookmarkEnd w:id="46"/>
    </w:p>
    <w:p>
      <w:pPr>
        <w:spacing w:after="60"/>
      </w:pPr>
      <w:r>
        <w:rPr/>
        <w:t xml:space="preserve"/>
      </w:r>
    </w:p>
    <w:tbl>
      <w:tblGrid>
        <w:gridCol w:w="1600" w:type="dxa"/>
        <w:gridCol w:w="1400" w:type="dxa"/>
        <w:gridCol w:w="60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1600" w:type="dxa"/>
            <w:vAlign w:val="center"/>
            <w:shd w:val="clear" w:fill="102A43"/>
            <w:noWrap/>
          </w:tcPr>
          <w:p>
            <w:pPr>
              <w:spacing w:after="0"/>
            </w:pPr>
            <w:r>
              <w:rPr>
                <w:rFonts w:ascii="Calibri" w:hAnsi="Calibri" w:eastAsia="Calibri" w:cs="Calibri"/>
                <w:color w:val="FFFFFF"/>
                <w:sz w:val="18"/>
                <w:szCs w:val="18"/>
                <w:b w:val="1"/>
                <w:bCs w:val="1"/>
              </w:rPr>
              <w:t xml:space="preserve">Level</w:t>
            </w:r>
          </w:p>
        </w:tc>
        <w:tc>
          <w:tcPr>
            <w:tcW w:w="1400" w:type="dxa"/>
            <w:vAlign w:val="center"/>
            <w:shd w:val="clear" w:fill="102A43"/>
            <w:noWrap/>
          </w:tcPr>
          <w:p>
            <w:pPr>
              <w:spacing w:after="0"/>
            </w:pPr>
            <w:r>
              <w:rPr>
                <w:rFonts w:ascii="Calibri" w:hAnsi="Calibri" w:eastAsia="Calibri" w:cs="Calibri"/>
                <w:color w:val="FFFFFF"/>
                <w:sz w:val="18"/>
                <w:szCs w:val="18"/>
                <w:b w:val="1"/>
                <w:bCs w:val="1"/>
              </w:rPr>
              <w:t xml:space="preserve">Score Range</w:t>
            </w:r>
          </w:p>
        </w:tc>
        <w:tc>
          <w:tcPr>
            <w:tcW w:w="6000" w:type="dxa"/>
            <w:vAlign w:val="center"/>
            <w:shd w:val="clear" w:fill="102A43"/>
            <w:noWrap/>
          </w:tcPr>
          <w:p>
            <w:pPr>
              <w:spacing w:after="0"/>
            </w:pPr>
            <w:r>
              <w:rPr>
                <w:rFonts w:ascii="Calibri" w:hAnsi="Calibri" w:eastAsia="Calibri" w:cs="Calibri"/>
                <w:color w:val="FFFFFF"/>
                <w:sz w:val="18"/>
                <w:szCs w:val="18"/>
                <w:b w:val="1"/>
                <w:bCs w:val="1"/>
              </w:rPr>
              <w:t xml:space="preserve">Description</w:t>
            </w:r>
          </w:p>
        </w:tc>
      </w:tr>
      <w:tr>
        <w:trPr>
          <w:trHeight w:val="360" w:hRule="atLeast"/>
        </w:trPr>
        <w:tc>
          <w:tcPr>
            <w:tcW w:w="1600" w:type="dxa"/>
            <w:vAlign w:val="center"/>
            <w:shd w:val="clear" w:fill="FAEEE3"/>
            <w:noWrap/>
          </w:tcPr>
          <w:p>
            <w:pPr>
              <w:spacing w:after="0"/>
            </w:pPr>
            <w:r>
              <w:rPr>
                <w:color w:val="A42638"/>
                <w:sz w:val="22"/>
                <w:szCs w:val="22"/>
                <w:b w:val="1"/>
                <w:bCs w:val="1"/>
              </w:rPr>
              <w:t xml:space="preserve">Initial</w:t>
            </w:r>
          </w:p>
        </w:tc>
        <w:tc>
          <w:tcPr>
            <w:tcW w:w="1400" w:type="dxa"/>
            <w:vAlign w:val="center"/>
            <w:noWrap/>
          </w:tcPr>
          <w:p>
            <w:pPr>
              <w:jc w:val="center"/>
              <w:spacing w:after="0"/>
            </w:pPr>
            <w:r>
              <w:rPr>
                <w:sz w:val="22"/>
                <w:szCs w:val="22"/>
              </w:rPr>
              <w:t xml:space="preserve">0–24</w:t>
            </w:r>
          </w:p>
        </w:tc>
        <w:tc>
          <w:tcPr>
            <w:tcW w:w="6000" w:type="dxa"/>
            <w:vAlign w:val="center"/>
            <w:noWrap/>
          </w:tcPr>
          <w:p>
            <w:pPr>
              <w:spacing w:after="0"/>
            </w:pPr>
            <w:r>
              <w:rPr>
                <w:sz w:val="22"/>
                <w:szCs w:val="22"/>
              </w:rPr>
              <w:t xml:space="preserve">Significant gaps exist. Controls are largely absent or inconsistently applied. Immediate remediation is required to achieve a baseline security and operational posture.</w:t>
            </w:r>
          </w:p>
        </w:tc>
      </w:tr>
      <w:tr>
        <w:trPr>
          <w:trHeight w:val="360" w:hRule="atLeast"/>
        </w:trPr>
        <w:tc>
          <w:tcPr>
            <w:tcW w:w="1600" w:type="dxa"/>
            <w:vAlign w:val="center"/>
            <w:shd w:val="clear" w:fill="FAEEE3"/>
            <w:noWrap/>
          </w:tcPr>
          <w:p>
            <w:pPr>
              <w:spacing w:after="0"/>
            </w:pPr>
            <w:r>
              <w:rPr>
                <w:color w:val="A42638"/>
                <w:sz w:val="22"/>
                <w:szCs w:val="22"/>
                <w:b w:val="1"/>
                <w:bCs w:val="1"/>
              </w:rPr>
              <w:t xml:space="preserve">Developing</w:t>
            </w:r>
          </w:p>
        </w:tc>
        <w:tc>
          <w:tcPr>
            <w:tcW w:w="1400" w:type="dxa"/>
            <w:vAlign w:val="center"/>
            <w:noWrap/>
          </w:tcPr>
          <w:p>
            <w:pPr>
              <w:jc w:val="center"/>
              <w:spacing w:after="0"/>
            </w:pPr>
            <w:r>
              <w:rPr>
                <w:sz w:val="22"/>
                <w:szCs w:val="22"/>
              </w:rPr>
              <w:t xml:space="preserve">25–49</w:t>
            </w:r>
          </w:p>
        </w:tc>
        <w:tc>
          <w:tcPr>
            <w:tcW w:w="6000" w:type="dxa"/>
            <w:vAlign w:val="center"/>
            <w:noWrap/>
          </w:tcPr>
          <w:p>
            <w:pPr>
              <w:spacing w:after="0"/>
            </w:pPr>
            <w:r>
              <w:rPr>
                <w:sz w:val="22"/>
                <w:szCs w:val="22"/>
              </w:rPr>
              <w:t xml:space="preserve">Basic controls are in place but coverage is incomplete. Key risks remain unaddressed. A structured improvement plan should be established.</w:t>
            </w:r>
          </w:p>
        </w:tc>
      </w:tr>
      <w:tr>
        <w:trPr>
          <w:trHeight w:val="360" w:hRule="atLeast"/>
        </w:trPr>
        <w:tc>
          <w:tcPr>
            <w:tcW w:w="1600" w:type="dxa"/>
            <w:vAlign w:val="center"/>
            <w:shd w:val="clear" w:fill="FBF3DC"/>
            <w:noWrap/>
          </w:tcPr>
          <w:p>
            <w:pPr>
              <w:spacing w:after="0"/>
            </w:pPr>
            <w:r>
              <w:rPr>
                <w:color w:val="806013"/>
                <w:sz w:val="22"/>
                <w:szCs w:val="22"/>
                <w:b w:val="1"/>
                <w:bCs w:val="1"/>
              </w:rPr>
              <w:t xml:space="preserve">Moderate</w:t>
            </w:r>
          </w:p>
        </w:tc>
        <w:tc>
          <w:tcPr>
            <w:tcW w:w="1400" w:type="dxa"/>
            <w:vAlign w:val="center"/>
            <w:noWrap/>
          </w:tcPr>
          <w:p>
            <w:pPr>
              <w:jc w:val="center"/>
              <w:spacing w:after="0"/>
            </w:pPr>
            <w:r>
              <w:rPr>
                <w:sz w:val="22"/>
                <w:szCs w:val="22"/>
              </w:rPr>
              <w:t xml:space="preserve">50–69</w:t>
            </w:r>
          </w:p>
        </w:tc>
        <w:tc>
          <w:tcPr>
            <w:tcW w:w="6000" w:type="dxa"/>
            <w:vAlign w:val="center"/>
            <w:noWrap/>
          </w:tcPr>
          <w:p>
            <w:pPr>
              <w:spacing w:after="0"/>
            </w:pPr>
            <w:r>
              <w:rPr>
                <w:sz w:val="22"/>
                <w:szCs w:val="22"/>
              </w:rPr>
              <w:t xml:space="preserve">Core controls are deployed across most areas. Some gaps and inconsistencies remain that should be addressed through planned improvement cycles.</w:t>
            </w:r>
          </w:p>
        </w:tc>
      </w:tr>
      <w:tr>
        <w:trPr>
          <w:trHeight w:val="360" w:hRule="atLeast"/>
        </w:trPr>
        <w:tc>
          <w:tcPr>
            <w:tcW w:w="1600" w:type="dxa"/>
            <w:vAlign w:val="center"/>
            <w:shd w:val="clear" w:fill="E6F3F4"/>
            <w:noWrap/>
          </w:tcPr>
          <w:p>
            <w:pPr>
              <w:spacing w:after="0"/>
            </w:pPr>
            <w:r>
              <w:rPr>
                <w:color w:val="102A43"/>
                <w:sz w:val="22"/>
                <w:szCs w:val="22"/>
                <w:b w:val="1"/>
                <w:bCs w:val="1"/>
              </w:rPr>
              <w:t xml:space="preserve">Mature</w:t>
            </w:r>
          </w:p>
        </w:tc>
        <w:tc>
          <w:tcPr>
            <w:tcW w:w="1400" w:type="dxa"/>
            <w:vAlign w:val="center"/>
            <w:noWrap/>
          </w:tcPr>
          <w:p>
            <w:pPr>
              <w:jc w:val="center"/>
              <w:spacing w:after="0"/>
            </w:pPr>
            <w:r>
              <w:rPr>
                <w:sz w:val="22"/>
                <w:szCs w:val="22"/>
              </w:rPr>
              <w:t xml:space="preserve">70–84</w:t>
            </w:r>
          </w:p>
        </w:tc>
        <w:tc>
          <w:tcPr>
            <w:tcW w:w="6000" w:type="dxa"/>
            <w:vAlign w:val="center"/>
            <w:noWrap/>
          </w:tcPr>
          <w:p>
            <w:pPr>
              <w:spacing w:after="0"/>
            </w:pPr>
            <w:r>
              <w:rPr>
                <w:sz w:val="22"/>
                <w:szCs w:val="22"/>
              </w:rPr>
              <w:t xml:space="preserve">Controls are well-established and consistently applied. Minor improvements remain to reach an optimised state.</w:t>
            </w:r>
          </w:p>
        </w:tc>
      </w:tr>
      <w:tr>
        <w:trPr>
          <w:trHeight w:val="360" w:hRule="atLeast"/>
        </w:trPr>
        <w:tc>
          <w:tcPr>
            <w:tcW w:w="1600" w:type="dxa"/>
            <w:vAlign w:val="center"/>
            <w:shd w:val="clear" w:fill="E8F3ED"/>
            <w:noWrap/>
          </w:tcPr>
          <w:p>
            <w:pPr>
              <w:spacing w:after="0"/>
            </w:pPr>
            <w:r>
              <w:rPr>
                <w:color w:val="256451"/>
                <w:sz w:val="22"/>
                <w:szCs w:val="22"/>
                <w:b w:val="1"/>
                <w:bCs w:val="1"/>
              </w:rPr>
              <w:t xml:space="preserve">Optimised</w:t>
            </w:r>
          </w:p>
        </w:tc>
        <w:tc>
          <w:tcPr>
            <w:tcW w:w="1400" w:type="dxa"/>
            <w:vAlign w:val="center"/>
            <w:noWrap/>
          </w:tcPr>
          <w:p>
            <w:pPr>
              <w:jc w:val="center"/>
              <w:spacing w:after="0"/>
            </w:pPr>
            <w:r>
              <w:rPr>
                <w:sz w:val="22"/>
                <w:szCs w:val="22"/>
              </w:rPr>
              <w:t xml:space="preserve">85–100</w:t>
            </w:r>
          </w:p>
        </w:tc>
        <w:tc>
          <w:tcPr>
            <w:tcW w:w="6000" w:type="dxa"/>
            <w:vAlign w:val="center"/>
            <w:noWrap/>
          </w:tcPr>
          <w:p>
            <w:pPr>
              <w:spacing w:after="0"/>
            </w:pPr>
            <w:r>
              <w:rPr>
                <w:sz w:val="22"/>
                <w:szCs w:val="22"/>
              </w:rPr>
              <w:t xml:space="preserve">Best practices are comprehensively implemented, consistently enforced, and subject to regular review. This is the target state for all mature Azure estates.</w:t>
            </w:r>
          </w:p>
        </w:tc>
      </w:tr>
    </w:tbl>
    <w:p>
      <w:pPr>
        <w:spacing w:after="200"/>
      </w:pPr>
      <w:r>
        <w:rPr/>
        <w:t xml:space="preserve"/>
      </w:r>
    </w:p>
    <w:p>
      <w:pPr>
        <w:pStyle w:val="Heading3"/>
      </w:pPr>
      <w:bookmarkStart w:id="47" w:name="_Toc47"/>
      <w:r>
        <w:t>Assessment Domains</w:t>
      </w:r>
      <w:bookmarkEnd w:id="47"/>
    </w:p>
    <w:p>
      <w:pPr>
        <w:spacing w:after="60"/>
      </w:pPr>
      <w:r>
        <w:rPr/>
        <w:t xml:space="preserve"/>
      </w:r>
    </w:p>
    <w:tbl>
      <w:tblGrid>
        <w:gridCol w:w="2000" w:type="dxa"/>
        <w:gridCol w:w="7000" w:type="dxa"/>
      </w:tblGrid>
      <w:tblPr>
        <w:tblW w:w="9000" w:type="dxa"/>
        <w:tblInd w:w="120" w:type="dxa"/>
        <w:tblLayout w:type="fixed"/>
        <w:tblCellMar>
          <w:top w:w="120" w:type="dxa"/>
          <w:left w:w="120" w:type="dxa"/>
          <w:right w:w="120" w:type="dxa"/>
          <w:bottom w:w="120" w:type="dxa"/>
        </w:tblCellMar>
        <w:tblBorders>
          <w:top w:val="single" w:sz="4" w:color="D9E3E9"/>
          <w:left w:val="single" w:sz="4" w:color="D9E3E9"/>
          <w:right w:val="single" w:sz="4" w:color="D9E3E9"/>
          <w:bottom w:val="single" w:sz="4" w:color="D9E3E9"/>
          <w:insideH w:val="single" w:sz="4" w:color="D9E3E9"/>
          <w:insideV w:val="single" w:sz="4" w:color="D9E3E9"/>
        </w:tblBorders>
      </w:tblPr>
      <w:tr>
        <w:trPr>
          <w:trHeight w:val="360" w:hRule="atLeast"/>
          <w:tblHeader w:val="1"/>
          <w:cantSplit w:val="1"/>
        </w:trPr>
        <w:tc>
          <w:tcPr>
            <w:tcW w:w="2000" w:type="dxa"/>
            <w:vAlign w:val="center"/>
            <w:shd w:val="clear" w:fill="102A43"/>
            <w:noWrap/>
          </w:tcPr>
          <w:p>
            <w:pPr>
              <w:spacing w:after="0"/>
            </w:pPr>
            <w:r>
              <w:rPr>
                <w:rFonts w:ascii="Calibri" w:hAnsi="Calibri" w:eastAsia="Calibri" w:cs="Calibri"/>
                <w:color w:val="FFFFFF"/>
                <w:sz w:val="18"/>
                <w:szCs w:val="18"/>
                <w:b w:val="1"/>
                <w:bCs w:val="1"/>
              </w:rPr>
              <w:t xml:space="preserve">Domain</w:t>
            </w:r>
          </w:p>
        </w:tc>
        <w:tc>
          <w:tcPr>
            <w:tcW w:w="7000" w:type="dxa"/>
            <w:vAlign w:val="center"/>
            <w:shd w:val="clear" w:fill="102A43"/>
            <w:noWrap/>
          </w:tcPr>
          <w:p>
            <w:pPr>
              <w:spacing w:after="0"/>
            </w:pPr>
            <w:r>
              <w:rPr>
                <w:rFonts w:ascii="Calibri" w:hAnsi="Calibri" w:eastAsia="Calibri" w:cs="Calibri"/>
                <w:color w:val="FFFFFF"/>
                <w:sz w:val="18"/>
                <w:szCs w:val="18"/>
                <w:b w:val="1"/>
                <w:bCs w:val="1"/>
              </w:rPr>
              <w:t xml:space="preserve">Description</w:t>
            </w:r>
          </w:p>
        </w:tc>
      </w:tr>
      <w:tr>
        <w:trPr/>
        <w:tc>
          <w:tcPr>
            <w:tcW w:w="2000" w:type="dxa"/>
            <w:vAlign w:val="center"/>
            <w:shd w:val="clear" w:fill="F3F6F8"/>
            <w:noWrap/>
          </w:tcPr>
          <w:p>
            <w:pPr>
              <w:spacing w:after="0"/>
            </w:pPr>
            <w:r>
              <w:rPr>
                <w:sz w:val="22"/>
                <w:szCs w:val="22"/>
                <w:b w:val="1"/>
                <w:bCs w:val="1"/>
              </w:rPr>
              <w:t xml:space="preserve">Reliability</w:t>
            </w:r>
          </w:p>
        </w:tc>
        <w:tc>
          <w:tcPr>
            <w:tcW w:w="7000" w:type="dxa"/>
            <w:vAlign w:val="center"/>
            <w:noWrap/>
          </w:tcPr>
          <w:p>
            <w:pPr>
              <w:spacing w:after="0"/>
            </w:pPr>
            <w:r>
              <w:rPr>
                <w:sz w:val="22"/>
                <w:szCs w:val="22"/>
              </w:rPr>
              <w:t xml:space="preserve">Reliability covers resiliency, availability, recovery, and operational continuity. A reliable Azure workload is designed around business requirements, resilient architecture, clear recovery objectives, and simple operational patterns.</w:t>
            </w:r>
          </w:p>
        </w:tc>
      </w:tr>
      <w:tr>
        <w:trPr/>
        <w:tc>
          <w:tcPr>
            <w:tcW w:w="2000" w:type="dxa"/>
            <w:vAlign w:val="center"/>
            <w:shd w:val="clear" w:fill="F3F6F8"/>
            <w:noWrap/>
          </w:tcPr>
          <w:p>
            <w:pPr>
              <w:spacing w:after="0"/>
            </w:pPr>
            <w:r>
              <w:rPr>
                <w:sz w:val="22"/>
                <w:szCs w:val="22"/>
                <w:b w:val="1"/>
                <w:bCs w:val="1"/>
              </w:rPr>
              <w:t xml:space="preserve">Security</w:t>
            </w:r>
          </w:p>
        </w:tc>
        <w:tc>
          <w:tcPr>
            <w:tcW w:w="7000" w:type="dxa"/>
            <w:vAlign w:val="center"/>
            <w:noWrap/>
          </w:tcPr>
          <w:p>
            <w:pPr>
              <w:spacing w:after="0"/>
            </w:pPr>
            <w:r>
              <w:rPr>
                <w:sz w:val="22"/>
                <w:szCs w:val="22"/>
              </w:rPr>
              <w:t xml:space="preserve">Security covers data protection, threat detection, and mitigation. A secure Azure workload protects confidentiality, integrity, and availability through layered identity, network, platform, and data controls.</w:t>
            </w:r>
          </w:p>
        </w:tc>
      </w:tr>
      <w:tr>
        <w:trPr/>
        <w:tc>
          <w:tcPr>
            <w:tcW w:w="2000" w:type="dxa"/>
            <w:vAlign w:val="center"/>
            <w:shd w:val="clear" w:fill="F3F6F8"/>
            <w:noWrap/>
          </w:tcPr>
          <w:p>
            <w:pPr>
              <w:spacing w:after="0"/>
            </w:pPr>
            <w:r>
              <w:rPr>
                <w:sz w:val="22"/>
                <w:szCs w:val="22"/>
                <w:b w:val="1"/>
                <w:bCs w:val="1"/>
              </w:rPr>
              <w:t xml:space="preserve">Cost Optimization</w:t>
            </w:r>
          </w:p>
        </w:tc>
        <w:tc>
          <w:tcPr>
            <w:tcW w:w="7000" w:type="dxa"/>
            <w:vAlign w:val="center"/>
            <w:noWrap/>
          </w:tcPr>
          <w:p>
            <w:pPr>
              <w:spacing w:after="0"/>
            </w:pPr>
            <w:r>
              <w:rPr>
                <w:sz w:val="22"/>
                <w:szCs w:val="22"/>
              </w:rPr>
              <w:t xml:space="preserve">Cost Optimization covers cost modeling, budgets, waste reduction, usage efficiency, and rate optimization. A cost-efficient Azure workload aligns spend with business value while actively removing unused or underutilized resources.</w:t>
            </w:r>
          </w:p>
        </w:tc>
      </w:tr>
      <w:tr>
        <w:trPr/>
        <w:tc>
          <w:tcPr>
            <w:tcW w:w="2000" w:type="dxa"/>
            <w:vAlign w:val="center"/>
            <w:shd w:val="clear" w:fill="F3F6F8"/>
            <w:noWrap/>
          </w:tcPr>
          <w:p>
            <w:pPr>
              <w:spacing w:after="0"/>
            </w:pPr>
            <w:r>
              <w:rPr>
                <w:sz w:val="22"/>
                <w:szCs w:val="22"/>
                <w:b w:val="1"/>
                <w:bCs w:val="1"/>
              </w:rPr>
              <w:t xml:space="preserve">Operational Excellence</w:t>
            </w:r>
          </w:p>
        </w:tc>
        <w:tc>
          <w:tcPr>
            <w:tcW w:w="7000" w:type="dxa"/>
            <w:vAlign w:val="center"/>
            <w:noWrap/>
          </w:tcPr>
          <w:p>
            <w:pPr>
              <w:spacing w:after="0"/>
            </w:pPr>
            <w:r>
              <w:rPr>
                <w:sz w:val="22"/>
                <w:szCs w:val="22"/>
              </w:rPr>
              <w:t xml:space="preserve">Operational Excellence covers holistic observability, DevOps practices, deployment safety, standards, and day-two operations. An operationally excellent workload is monitored comprehensively and operated through repeatable, low-risk processes.</w:t>
            </w:r>
          </w:p>
        </w:tc>
      </w:tr>
      <w:tr>
        <w:trPr/>
        <w:tc>
          <w:tcPr>
            <w:tcW w:w="2000" w:type="dxa"/>
            <w:vAlign w:val="center"/>
            <w:shd w:val="clear" w:fill="F3F6F8"/>
            <w:noWrap/>
          </w:tcPr>
          <w:p>
            <w:pPr>
              <w:spacing w:after="0"/>
            </w:pPr>
            <w:r>
              <w:rPr>
                <w:sz w:val="22"/>
                <w:szCs w:val="22"/>
                <w:b w:val="1"/>
                <w:bCs w:val="1"/>
              </w:rPr>
              <w:t xml:space="preserve">Performance Efficiency</w:t>
            </w:r>
          </w:p>
        </w:tc>
        <w:tc>
          <w:tcPr>
            <w:tcW w:w="7000" w:type="dxa"/>
            <w:vAlign w:val="center"/>
            <w:noWrap/>
          </w:tcPr>
          <w:p>
            <w:pPr>
              <w:spacing w:after="0"/>
            </w:pPr>
            <w:r>
              <w:rPr>
                <w:sz w:val="22"/>
                <w:szCs w:val="22"/>
              </w:rPr>
              <w:t xml:space="preserve">Performance Efficiency covers scalability, load testing, capacity management, and health monitoring. A performant Azure workload scales horizontally where appropriate, validates capacity early, and continuously monitors performance under demand.</w:t>
            </w:r>
          </w:p>
        </w:tc>
      </w:tr>
    </w:tbl>
    <w:sectPr>
      <w:headerReference w:type="default" r:id="rId13"/>
      <w:headerReference w:type="first" r:id="rId14"/>
      <w:footerReference w:type="default" r:id="rId15"/>
      <w:footerReference w:type="first" r:id="rId16"/>
      <w:titlePg/>
      <w:pgSz w:orient="portrait" w:w="11906" w:h="16838"/>
      <w:pgMar w:top="1440" w:right="1453" w:bottom="1440" w:left="1453" w:header="708" w:footer="708"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spacing w:after="0"/>
    </w:pPr>
    <w:r>
      <w:rPr>
        <w:color w:val="52627A"/>
        <w:sz w:val="16"/>
        <w:szCs w:val="16"/>
      </w:rPr>
      <w:t xml:space="preserve">HYGIARA  /  CONFIDENTIAL     •     </w:t>
    </w:r>
    <w:r>
      <w:fldChar w:fldCharType="begin"/>
    </w:r>
    <w:r>
      <w:rPr>
        <w:color w:val="52627A"/>
        <w:sz w:val="16"/>
        <w:szCs w:val="16"/>
      </w:rPr>
      <w:instrText xml:space="preserve">PAGE</w:instrText>
    </w:r>
    <w:r>
      <w:fldChar w:fldCharType="separate"/>
    </w:r>
    <w:r>
      <w:fldChar w:fldCharType="end"/>
    </w:r>
    <w:r>
      <w:rPr>
        <w:color w:val="52627A"/>
        <w:sz w:val="16"/>
        <w:szCs w:val="16"/>
      </w:rPr>
      <w:t xml:space="preserve"> / </w:t>
    </w:r>
    <w:r>
      <w:fldChar w:fldCharType="begin"/>
    </w:r>
    <w:r>
      <w:rPr>
        <w:color w:val="52627A"/>
        <w:sz w:val="16"/>
        <w:szCs w:val="16"/>
      </w:rPr>
      <w:instrText xml:space="preserve">NUMPAGES</w:instrText>
    </w:r>
    <w:r>
      <w:fldChar w:fldCharType="separate"/>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80"/>
    </w:pPr>
    <w:r>
      <w:rPr>
        <w:color w:val="52627A"/>
        <w:sz w:val="16"/>
        <w:szCs w:val="16"/>
      </w:rPr>
      <w:t xml:space="preserve">CONFIDENTIAL – This document is intended solely for the named recipient. It contains sensitive assessment findings and should not be distributed without authorisation.</w:t>
    </w:r>
  </w:p>
  <w:p>
    <w:pPr>
      <w:spacing w:after="0"/>
    </w:pPr>
    <w:r>
      <w:rPr>
        <w:color w:val="52627A"/>
        <w:sz w:val="16"/>
        <w:szCs w:val="16"/>
      </w:rPr>
      <w:t xml:space="preserve">Prepared by Hygiara</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80"/>
      <w:pBdr>
        <w:bottom w:val="single" w:sz="6" w:color="007F95"/>
      </w:pBdr>
    </w:pPr>
    <w:r>
      <w:rPr>
        <w:color w:val="102A43"/>
        <w:sz w:val="16"/>
        <w:szCs w:val="16"/>
        <w:b w:val="1"/>
        <w:bCs w:val="1"/>
        <w:spacing w:val="15"/>
      </w:rPr>
      <w:t xml:space="preserve">HYGIARA</w:t>
    </w:r>
    <w:r>
      <w:rPr>
        <w:color w:val="52627A"/>
        <w:sz w:val="16"/>
        <w:szCs w:val="16"/>
      </w:rPr>
      <w:t xml:space="preserve">  /  Contoso Corp</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ACD0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pPr>
      <w:spacing w:before="0" w:after="120" w:line="264"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pageBreakBefore w:val="1"/>
      <w:spacing w:before="0" w:after="160"/>
    </w:pPr>
    <w:rPr>
      <w:color w:val="102A43"/>
      <w:sz w:val="48"/>
      <w:szCs w:val="48"/>
      <w:b w:val="1"/>
      <w:bCs w:val="1"/>
    </w:rPr>
  </w:style>
  <w:style w:type="paragraph" w:styleId="Heading2">
    <w:link w:val="Heading2Char"/>
    <w:name w:val="heading 2"/>
    <w:basedOn w:val="Normal"/>
    <w:pPr>
      <w:keepNext w:val="1"/>
      <w:spacing w:before="240" w:after="160"/>
    </w:pPr>
    <w:rPr>
      <w:color w:val="102A43"/>
      <w:sz w:val="36"/>
      <w:szCs w:val="36"/>
      <w:b w:val="1"/>
      <w:bCs w:val="1"/>
    </w:rPr>
  </w:style>
  <w:style w:type="paragraph" w:styleId="Heading3">
    <w:link w:val="Heading3Char"/>
    <w:name w:val="heading 3"/>
    <w:basedOn w:val="Normal"/>
    <w:pPr>
      <w:keepNext w:val="1"/>
      <w:spacing w:before="160" w:after="80"/>
    </w:pPr>
    <w:rPr>
      <w:color w:val="007F95"/>
      <w:sz w:val="24"/>
      <w:szCs w:val="24"/>
      <w:b w:val="1"/>
      <w:bCs w:val="1"/>
    </w:rPr>
  </w:style>
  <w:style w:type="paragraph" w:styleId="Heading4">
    <w:link w:val="Heading4Char"/>
    <w:name w:val="heading 4"/>
    <w:basedOn w:val="Normal"/>
    <w:pPr>
      <w:keepNext w:val="1"/>
      <w:spacing w:before="160" w:after="80"/>
    </w:pPr>
    <w:rPr>
      <w:color w:val="102A43"/>
      <w:sz w:val="22"/>
      <w:szCs w:val="22"/>
      <w:b w:val="1"/>
      <w:bCs w:val="1"/>
    </w:rPr>
  </w:style>
  <w:style w:type="paragraph" w:styleId="ReportLabel">
    <w:name w:val="ReportLabel"/>
    <w:basedOn w:val="Normal"/>
    <w:pPr>
      <w:keepNext w:val="1"/>
      <w:spacing w:before="160" w:after="60"/>
    </w:pPr>
    <w:rPr>
      <w:color w:val="007F95"/>
      <w:sz w:val="18"/>
      <w:szCs w:val="18"/>
      <w:b w:val="1"/>
      <w:bCs w:val="1"/>
      <w:spacing w:val="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chart" Target="charts/chart1.xml"/><Relationship Id="rId18" Type="http://schemas.openxmlformats.org/officeDocument/2006/relationships/chart" Target="charts/chart2.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col"/>
        <c:grouping val="clustered"/>
        <c:ser>
          <c:idx val="0"/>
          <c:order val="0"/>
          <c:dLbls>
            <c:showVal val="1"/>
            <c:showCatName val="0"/>
            <c:showLegendKey val="0"/>
            <c:showSerName val="0"/>
            <c:showPercent val="0"/>
            <c:showLeaderLines val="0"/>
            <c:showBubbleSize val="0"/>
          </c:dLbls>
          <c:cat>
            <c:strLit>
              <c:ptCount val="5"/>
              <c:pt idx="0">
                <c:v>Reliability</c:v>
              </c:pt>
              <c:pt idx="1">
                <c:v>Security</c:v>
              </c:pt>
              <c:pt idx="2">
                <c:v>Cost Optimization</c:v>
              </c:pt>
              <c:pt idx="3">
                <c:v>Operational Excellence</c:v>
              </c:pt>
              <c:pt idx="4">
                <c:v>Performance Efficiency</c:v>
              </c:pt>
            </c:strLit>
          </c:cat>
          <c:val>
            <c:numLit>
              <c:ptCount val="5"/>
              <c:pt idx="0">
                <c:v>1</c:v>
              </c:pt>
              <c:pt idx="1">
                <c:v>2</c:v>
              </c:pt>
              <c:pt idx="2">
                <c:v>0</c:v>
              </c:pt>
              <c:pt idx="3">
                <c:v>2</c:v>
              </c:pt>
              <c:pt idx="4">
                <c:v>0</c:v>
              </c:pt>
            </c:numLit>
          </c:val>
          <c:dPt>
            <c:idx val="0"/>
            <c:spPr>
              <a:solidFill>
                <a:srgbClr val="007F95"/>
              </a:solidFill>
            </c:spPr>
          </c:dPt>
          <c:dPt>
            <c:idx val="1"/>
            <c:spPr>
              <a:solidFill>
                <a:srgbClr val="102A43"/>
              </a:solidFill>
            </c:spPr>
          </c:dPt>
          <c:dPt>
            <c:idx val="2"/>
            <c:spPr>
              <a:solidFill>
                <a:srgbClr val="427C83"/>
              </a:solidFill>
            </c:spPr>
          </c:dPt>
          <c:dPt>
            <c:idx val="3"/>
            <c:spPr>
              <a:solidFill>
                <a:srgbClr val="57728B"/>
              </a:solidFill>
            </c:spPr>
          </c:dPt>
          <c:dPt>
            <c:idx val="4"/>
            <c:spPr>
              <a:solidFill>
                <a:srgbClr val="82AEB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majorGridlines/>
        <c:scaling>
          <c:orientation val="minMax"/>
        </c:scaling>
        <c:spPr>
          <a:ln>
            <a:solidFill/>
          </a:ln>
        </c:spPr>
      </c:valAx>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t"/>
    </c:legend>
    <c:plotArea>
      <c:layout/>
      <c:lineChart>
        <c:varyColors val="0"/>
        <c:ser>
          <c:idx val="0"/>
          <c:order val="0"/>
          <c:tx>
            <c:strRef>
              <c:strCache>
                <c:ptCount val="1"/>
                <c:pt idx="0">
                  <c:v>Current period</c:v>
                </c:pt>
              </c:strCache>
            </c:strRef>
          </c:tx>
          <c:dLbls>
            <c:showVal val="0"/>
            <c:showCatName val="0"/>
            <c:showLegendKey val="0"/>
            <c:showSerName val="0"/>
            <c:showPercent val="0"/>
            <c:showLeaderLines val="0"/>
            <c:showBubbleSize val="0"/>
          </c:dLbls>
          <c:cat>
            <c:strLit>
              <c:ptCount val="30"/>
              <c:pt idx="0">
                <c:v>1</c:v>
              </c:pt>
              <c:pt idx="1">
                <c:v/>
              </c:pt>
              <c:pt idx="2">
                <c:v/>
              </c:pt>
              <c:pt idx="3">
                <c:v/>
              </c:pt>
              <c:pt idx="4">
                <c:v>5</c:v>
              </c:pt>
              <c:pt idx="5">
                <c:v/>
              </c:pt>
              <c:pt idx="6">
                <c:v/>
              </c:pt>
              <c:pt idx="7">
                <c:v/>
              </c:pt>
              <c:pt idx="8">
                <c:v/>
              </c:pt>
              <c:pt idx="9">
                <c:v>10</c:v>
              </c:pt>
              <c:pt idx="10">
                <c:v/>
              </c:pt>
              <c:pt idx="11">
                <c:v/>
              </c:pt>
              <c:pt idx="12">
                <c:v/>
              </c:pt>
              <c:pt idx="13">
                <c:v/>
              </c:pt>
              <c:pt idx="14">
                <c:v>15</c:v>
              </c:pt>
              <c:pt idx="15">
                <c:v/>
              </c:pt>
              <c:pt idx="16">
                <c:v/>
              </c:pt>
              <c:pt idx="17">
                <c:v/>
              </c:pt>
              <c:pt idx="18">
                <c:v/>
              </c:pt>
              <c:pt idx="19">
                <c:v>20</c:v>
              </c:pt>
              <c:pt idx="20">
                <c:v/>
              </c:pt>
              <c:pt idx="21">
                <c:v/>
              </c:pt>
              <c:pt idx="22">
                <c:v/>
              </c:pt>
              <c:pt idx="23">
                <c:v/>
              </c:pt>
              <c:pt idx="24">
                <c:v>25</c:v>
              </c:pt>
              <c:pt idx="25">
                <c:v/>
              </c:pt>
              <c:pt idx="26">
                <c:v/>
              </c:pt>
              <c:pt idx="27">
                <c:v/>
              </c:pt>
              <c:pt idx="28">
                <c:v/>
              </c:pt>
              <c:pt idx="29">
                <c:v>30</c:v>
              </c:pt>
            </c:strLit>
          </c:cat>
          <c:val>
            <c:numLit>
              <c:ptCount val="30"/>
              <c:pt idx="0">
                <c:v>270</c:v>
              </c:pt>
              <c:pt idx="1">
                <c:v>287</c:v>
              </c:pt>
              <c:pt idx="2">
                <c:v>304</c:v>
              </c:pt>
              <c:pt idx="3">
                <c:v>321</c:v>
              </c:pt>
              <c:pt idx="4">
                <c:v>338</c:v>
              </c:pt>
              <c:pt idx="5">
                <c:v>355</c:v>
              </c:pt>
              <c:pt idx="6">
                <c:v>277</c:v>
              </c:pt>
              <c:pt idx="7">
                <c:v>294</c:v>
              </c:pt>
              <c:pt idx="8">
                <c:v>311</c:v>
              </c:pt>
              <c:pt idx="9">
                <c:v>328</c:v>
              </c:pt>
              <c:pt idx="10">
                <c:v>345</c:v>
              </c:pt>
              <c:pt idx="11">
                <c:v>362</c:v>
              </c:pt>
              <c:pt idx="12">
                <c:v>284</c:v>
              </c:pt>
              <c:pt idx="13">
                <c:v>301</c:v>
              </c:pt>
              <c:pt idx="14">
                <c:v>318</c:v>
              </c:pt>
              <c:pt idx="15">
                <c:v>335</c:v>
              </c:pt>
              <c:pt idx="16">
                <c:v>352</c:v>
              </c:pt>
              <c:pt idx="17">
                <c:v>274</c:v>
              </c:pt>
              <c:pt idx="18">
                <c:v>291</c:v>
              </c:pt>
              <c:pt idx="19">
                <c:v>308</c:v>
              </c:pt>
              <c:pt idx="20">
                <c:v>325</c:v>
              </c:pt>
              <c:pt idx="21">
                <c:v>342</c:v>
              </c:pt>
              <c:pt idx="22">
                <c:v>359</c:v>
              </c:pt>
              <c:pt idx="23">
                <c:v>281</c:v>
              </c:pt>
              <c:pt idx="24">
                <c:v>298</c:v>
              </c:pt>
              <c:pt idx="25">
                <c:v>315</c:v>
              </c:pt>
              <c:pt idx="26">
                <c:v>332</c:v>
              </c:pt>
              <c:pt idx="27">
                <c:v>349</c:v>
              </c:pt>
              <c:pt idx="28">
                <c:v>271</c:v>
              </c:pt>
              <c:pt idx="29">
                <c:v>288</c:v>
              </c:pt>
            </c:numLit>
          </c:val>
          <c:dPt>
            <c:idx val="0"/>
            <c:spPr>
              <a:solidFill>
                <a:srgbClr val="007F95"/>
              </a:solidFill>
            </c:spPr>
          </c:dPt>
          <c:dPt>
            <c:idx val="1"/>
            <c:spPr>
              <a:solidFill>
                <a:srgbClr val="102A43"/>
              </a:solidFill>
            </c:spPr>
          </c:dPt>
          <c:dPt>
            <c:idx val="2"/>
            <c:spPr>
              <a:solidFill>
                <a:srgbClr val="007F95"/>
              </a:solidFill>
            </c:spPr>
          </c:dPt>
          <c:dPt>
            <c:idx val="3"/>
            <c:spPr>
              <a:solidFill>
                <a:srgbClr val="102A43"/>
              </a:solidFill>
            </c:spPr>
          </c:dPt>
          <c:dPt>
            <c:idx val="4"/>
            <c:spPr>
              <a:solidFill>
                <a:srgbClr val="007F95"/>
              </a:solidFill>
            </c:spPr>
          </c:dPt>
          <c:dPt>
            <c:idx val="5"/>
            <c:spPr>
              <a:solidFill>
                <a:srgbClr val="102A43"/>
              </a:solidFill>
            </c:spPr>
          </c:dPt>
          <c:dPt>
            <c:idx val="6"/>
            <c:spPr>
              <a:solidFill>
                <a:srgbClr val="007F95"/>
              </a:solidFill>
            </c:spPr>
          </c:dPt>
          <c:dPt>
            <c:idx val="7"/>
            <c:spPr>
              <a:solidFill>
                <a:srgbClr val="102A43"/>
              </a:solidFill>
            </c:spPr>
          </c:dPt>
          <c:dPt>
            <c:idx val="8"/>
            <c:spPr>
              <a:solidFill>
                <a:srgbClr val="007F95"/>
              </a:solidFill>
            </c:spPr>
          </c:dPt>
          <c:dPt>
            <c:idx val="9"/>
            <c:spPr>
              <a:solidFill>
                <a:srgbClr val="102A43"/>
              </a:solidFill>
            </c:spPr>
          </c:dPt>
          <c:dPt>
            <c:idx val="10"/>
            <c:spPr>
              <a:solidFill>
                <a:srgbClr val="007F95"/>
              </a:solidFill>
            </c:spPr>
          </c:dPt>
          <c:dPt>
            <c:idx val="11"/>
            <c:spPr>
              <a:solidFill>
                <a:srgbClr val="102A43"/>
              </a:solidFill>
            </c:spPr>
          </c:dPt>
          <c:dPt>
            <c:idx val="12"/>
            <c:spPr>
              <a:solidFill>
                <a:srgbClr val="007F95"/>
              </a:solidFill>
            </c:spPr>
          </c:dPt>
          <c:dPt>
            <c:idx val="13"/>
            <c:spPr>
              <a:solidFill>
                <a:srgbClr val="102A43"/>
              </a:solidFill>
            </c:spPr>
          </c:dPt>
          <c:dPt>
            <c:idx val="14"/>
            <c:spPr>
              <a:solidFill>
                <a:srgbClr val="007F95"/>
              </a:solidFill>
            </c:spPr>
          </c:dPt>
          <c:dPt>
            <c:idx val="15"/>
            <c:spPr>
              <a:solidFill>
                <a:srgbClr val="102A43"/>
              </a:solidFill>
            </c:spPr>
          </c:dPt>
          <c:dPt>
            <c:idx val="16"/>
            <c:spPr>
              <a:solidFill>
                <a:srgbClr val="007F95"/>
              </a:solidFill>
            </c:spPr>
          </c:dPt>
          <c:dPt>
            <c:idx val="17"/>
            <c:spPr>
              <a:solidFill>
                <a:srgbClr val="102A43"/>
              </a:solidFill>
            </c:spPr>
          </c:dPt>
          <c:dPt>
            <c:idx val="18"/>
            <c:spPr>
              <a:solidFill>
                <a:srgbClr val="007F95"/>
              </a:solidFill>
            </c:spPr>
          </c:dPt>
          <c:dPt>
            <c:idx val="19"/>
            <c:spPr>
              <a:solidFill>
                <a:srgbClr val="102A43"/>
              </a:solidFill>
            </c:spPr>
          </c:dPt>
          <c:dPt>
            <c:idx val="20"/>
            <c:spPr>
              <a:solidFill>
                <a:srgbClr val="007F95"/>
              </a:solidFill>
            </c:spPr>
          </c:dPt>
          <c:dPt>
            <c:idx val="21"/>
            <c:spPr>
              <a:solidFill>
                <a:srgbClr val="102A43"/>
              </a:solidFill>
            </c:spPr>
          </c:dPt>
          <c:dPt>
            <c:idx val="22"/>
            <c:spPr>
              <a:solidFill>
                <a:srgbClr val="007F95"/>
              </a:solidFill>
            </c:spPr>
          </c:dPt>
          <c:dPt>
            <c:idx val="23"/>
            <c:spPr>
              <a:solidFill>
                <a:srgbClr val="102A43"/>
              </a:solidFill>
            </c:spPr>
          </c:dPt>
          <c:dPt>
            <c:idx val="24"/>
            <c:spPr>
              <a:solidFill>
                <a:srgbClr val="007F95"/>
              </a:solidFill>
            </c:spPr>
          </c:dPt>
          <c:dPt>
            <c:idx val="25"/>
            <c:spPr>
              <a:solidFill>
                <a:srgbClr val="102A43"/>
              </a:solidFill>
            </c:spPr>
          </c:dPt>
          <c:dPt>
            <c:idx val="26"/>
            <c:spPr>
              <a:solidFill>
                <a:srgbClr val="007F95"/>
              </a:solidFill>
            </c:spPr>
          </c:dPt>
          <c:dPt>
            <c:idx val="27"/>
            <c:spPr>
              <a:solidFill>
                <a:srgbClr val="102A43"/>
              </a:solidFill>
            </c:spPr>
          </c:dPt>
          <c:dPt>
            <c:idx val="28"/>
            <c:spPr>
              <a:solidFill>
                <a:srgbClr val="007F95"/>
              </a:solidFill>
            </c:spPr>
          </c:dPt>
          <c:dPt>
            <c:idx val="29"/>
            <c:spPr>
              <a:solidFill>
                <a:srgbClr val="102A43"/>
              </a:solidFill>
            </c:spPr>
          </c:dPt>
        </c:ser>
        <c:ser>
          <c:idx val="1"/>
          <c:order val="1"/>
          <c:tx>
            <c:strRef>
              <c:strCache>
                <c:ptCount val="1"/>
                <c:pt idx="0">
                  <c:v>Previous period</c:v>
                </c:pt>
              </c:strCache>
            </c:strRef>
          </c:tx>
          <c:dLbls>
            <c:showVal val="0"/>
            <c:showCatName val="0"/>
            <c:showLegendKey val="0"/>
            <c:showSerName val="0"/>
            <c:showPercent val="0"/>
            <c:showLeaderLines val="0"/>
            <c:showBubbleSize val="0"/>
          </c:dLbls>
          <c:cat>
            <c:strLit>
              <c:ptCount val="30"/>
              <c:pt idx="0">
                <c:v>1</c:v>
              </c:pt>
              <c:pt idx="1">
                <c:v/>
              </c:pt>
              <c:pt idx="2">
                <c:v/>
              </c:pt>
              <c:pt idx="3">
                <c:v/>
              </c:pt>
              <c:pt idx="4">
                <c:v>5</c:v>
              </c:pt>
              <c:pt idx="5">
                <c:v/>
              </c:pt>
              <c:pt idx="6">
                <c:v/>
              </c:pt>
              <c:pt idx="7">
                <c:v/>
              </c:pt>
              <c:pt idx="8">
                <c:v/>
              </c:pt>
              <c:pt idx="9">
                <c:v>10</c:v>
              </c:pt>
              <c:pt idx="10">
                <c:v/>
              </c:pt>
              <c:pt idx="11">
                <c:v/>
              </c:pt>
              <c:pt idx="12">
                <c:v/>
              </c:pt>
              <c:pt idx="13">
                <c:v/>
              </c:pt>
              <c:pt idx="14">
                <c:v>15</c:v>
              </c:pt>
              <c:pt idx="15">
                <c:v/>
              </c:pt>
              <c:pt idx="16">
                <c:v/>
              </c:pt>
              <c:pt idx="17">
                <c:v/>
              </c:pt>
              <c:pt idx="18">
                <c:v/>
              </c:pt>
              <c:pt idx="19">
                <c:v>20</c:v>
              </c:pt>
              <c:pt idx="20">
                <c:v/>
              </c:pt>
              <c:pt idx="21">
                <c:v/>
              </c:pt>
              <c:pt idx="22">
                <c:v/>
              </c:pt>
              <c:pt idx="23">
                <c:v/>
              </c:pt>
              <c:pt idx="24">
                <c:v>25</c:v>
              </c:pt>
              <c:pt idx="25">
                <c:v/>
              </c:pt>
              <c:pt idx="26">
                <c:v/>
              </c:pt>
              <c:pt idx="27">
                <c:v/>
              </c:pt>
              <c:pt idx="28">
                <c:v/>
              </c:pt>
              <c:pt idx="29">
                <c:v>30</c:v>
              </c:pt>
            </c:strLit>
          </c:cat>
          <c:val>
            <c:numLit>
              <c:ptCount val="30"/>
              <c:pt idx="0">
                <c:v>250</c:v>
              </c:pt>
              <c:pt idx="1">
                <c:v>263</c:v>
              </c:pt>
              <c:pt idx="2">
                <c:v>276</c:v>
              </c:pt>
              <c:pt idx="3">
                <c:v>289</c:v>
              </c:pt>
              <c:pt idx="4">
                <c:v>302</c:v>
              </c:pt>
              <c:pt idx="5">
                <c:v>315</c:v>
              </c:pt>
              <c:pt idx="6">
                <c:v>328</c:v>
              </c:pt>
              <c:pt idx="7">
                <c:v>261</c:v>
              </c:pt>
              <c:pt idx="8">
                <c:v>274</c:v>
              </c:pt>
              <c:pt idx="9">
                <c:v>287</c:v>
              </c:pt>
              <c:pt idx="10">
                <c:v>300</c:v>
              </c:pt>
              <c:pt idx="11">
                <c:v>313</c:v>
              </c:pt>
              <c:pt idx="12">
                <c:v>326</c:v>
              </c:pt>
              <c:pt idx="13">
                <c:v>259</c:v>
              </c:pt>
              <c:pt idx="14">
                <c:v>272</c:v>
              </c:pt>
              <c:pt idx="15">
                <c:v>285</c:v>
              </c:pt>
              <c:pt idx="16">
                <c:v>298</c:v>
              </c:pt>
              <c:pt idx="17">
                <c:v>311</c:v>
              </c:pt>
              <c:pt idx="18">
                <c:v>324</c:v>
              </c:pt>
              <c:pt idx="19">
                <c:v>257</c:v>
              </c:pt>
              <c:pt idx="20">
                <c:v>270</c:v>
              </c:pt>
              <c:pt idx="21">
                <c:v>283</c:v>
              </c:pt>
              <c:pt idx="22">
                <c:v>296</c:v>
              </c:pt>
              <c:pt idx="23">
                <c:v>309</c:v>
              </c:pt>
              <c:pt idx="24">
                <c:v>322</c:v>
              </c:pt>
              <c:pt idx="25">
                <c:v>255</c:v>
              </c:pt>
              <c:pt idx="26">
                <c:v>268</c:v>
              </c:pt>
              <c:pt idx="27">
                <c:v>281</c:v>
              </c:pt>
              <c:pt idx="28">
                <c:v>294</c:v>
              </c:pt>
              <c:pt idx="29">
                <c:v>307</c:v>
              </c:pt>
            </c:numLit>
          </c:val>
          <c:dPt>
            <c:idx val="0"/>
            <c:spPr>
              <a:solidFill>
                <a:srgbClr val="007F95"/>
              </a:solidFill>
            </c:spPr>
          </c:dPt>
          <c:dPt>
            <c:idx val="1"/>
            <c:spPr>
              <a:solidFill>
                <a:srgbClr val="102A43"/>
              </a:solidFill>
            </c:spPr>
          </c:dPt>
          <c:dPt>
            <c:idx val="2"/>
            <c:spPr>
              <a:solidFill>
                <a:srgbClr val="007F95"/>
              </a:solidFill>
            </c:spPr>
          </c:dPt>
          <c:dPt>
            <c:idx val="3"/>
            <c:spPr>
              <a:solidFill>
                <a:srgbClr val="102A43"/>
              </a:solidFill>
            </c:spPr>
          </c:dPt>
          <c:dPt>
            <c:idx val="4"/>
            <c:spPr>
              <a:solidFill>
                <a:srgbClr val="007F95"/>
              </a:solidFill>
            </c:spPr>
          </c:dPt>
          <c:dPt>
            <c:idx val="5"/>
            <c:spPr>
              <a:solidFill>
                <a:srgbClr val="102A43"/>
              </a:solidFill>
            </c:spPr>
          </c:dPt>
          <c:dPt>
            <c:idx val="6"/>
            <c:spPr>
              <a:solidFill>
                <a:srgbClr val="007F95"/>
              </a:solidFill>
            </c:spPr>
          </c:dPt>
          <c:dPt>
            <c:idx val="7"/>
            <c:spPr>
              <a:solidFill>
                <a:srgbClr val="102A43"/>
              </a:solidFill>
            </c:spPr>
          </c:dPt>
          <c:dPt>
            <c:idx val="8"/>
            <c:spPr>
              <a:solidFill>
                <a:srgbClr val="007F95"/>
              </a:solidFill>
            </c:spPr>
          </c:dPt>
          <c:dPt>
            <c:idx val="9"/>
            <c:spPr>
              <a:solidFill>
                <a:srgbClr val="102A43"/>
              </a:solidFill>
            </c:spPr>
          </c:dPt>
          <c:dPt>
            <c:idx val="10"/>
            <c:spPr>
              <a:solidFill>
                <a:srgbClr val="007F95"/>
              </a:solidFill>
            </c:spPr>
          </c:dPt>
          <c:dPt>
            <c:idx val="11"/>
            <c:spPr>
              <a:solidFill>
                <a:srgbClr val="102A43"/>
              </a:solidFill>
            </c:spPr>
          </c:dPt>
          <c:dPt>
            <c:idx val="12"/>
            <c:spPr>
              <a:solidFill>
                <a:srgbClr val="007F95"/>
              </a:solidFill>
            </c:spPr>
          </c:dPt>
          <c:dPt>
            <c:idx val="13"/>
            <c:spPr>
              <a:solidFill>
                <a:srgbClr val="102A43"/>
              </a:solidFill>
            </c:spPr>
          </c:dPt>
          <c:dPt>
            <c:idx val="14"/>
            <c:spPr>
              <a:solidFill>
                <a:srgbClr val="007F95"/>
              </a:solidFill>
            </c:spPr>
          </c:dPt>
          <c:dPt>
            <c:idx val="15"/>
            <c:spPr>
              <a:solidFill>
                <a:srgbClr val="102A43"/>
              </a:solidFill>
            </c:spPr>
          </c:dPt>
          <c:dPt>
            <c:idx val="16"/>
            <c:spPr>
              <a:solidFill>
                <a:srgbClr val="007F95"/>
              </a:solidFill>
            </c:spPr>
          </c:dPt>
          <c:dPt>
            <c:idx val="17"/>
            <c:spPr>
              <a:solidFill>
                <a:srgbClr val="102A43"/>
              </a:solidFill>
            </c:spPr>
          </c:dPt>
          <c:dPt>
            <c:idx val="18"/>
            <c:spPr>
              <a:solidFill>
                <a:srgbClr val="007F95"/>
              </a:solidFill>
            </c:spPr>
          </c:dPt>
          <c:dPt>
            <c:idx val="19"/>
            <c:spPr>
              <a:solidFill>
                <a:srgbClr val="102A43"/>
              </a:solidFill>
            </c:spPr>
          </c:dPt>
          <c:dPt>
            <c:idx val="20"/>
            <c:spPr>
              <a:solidFill>
                <a:srgbClr val="007F95"/>
              </a:solidFill>
            </c:spPr>
          </c:dPt>
          <c:dPt>
            <c:idx val="21"/>
            <c:spPr>
              <a:solidFill>
                <a:srgbClr val="102A43"/>
              </a:solidFill>
            </c:spPr>
          </c:dPt>
          <c:dPt>
            <c:idx val="22"/>
            <c:spPr>
              <a:solidFill>
                <a:srgbClr val="007F95"/>
              </a:solidFill>
            </c:spPr>
          </c:dPt>
          <c:dPt>
            <c:idx val="23"/>
            <c:spPr>
              <a:solidFill>
                <a:srgbClr val="102A43"/>
              </a:solidFill>
            </c:spPr>
          </c:dPt>
          <c:dPt>
            <c:idx val="24"/>
            <c:spPr>
              <a:solidFill>
                <a:srgbClr val="007F95"/>
              </a:solidFill>
            </c:spPr>
          </c:dPt>
          <c:dPt>
            <c:idx val="25"/>
            <c:spPr>
              <a:solidFill>
                <a:srgbClr val="102A43"/>
              </a:solidFill>
            </c:spPr>
          </c:dPt>
          <c:dPt>
            <c:idx val="26"/>
            <c:spPr>
              <a:solidFill>
                <a:srgbClr val="007F95"/>
              </a:solidFill>
            </c:spPr>
          </c:dPt>
          <c:dPt>
            <c:idx val="27"/>
            <c:spPr>
              <a:solidFill>
                <a:srgbClr val="102A43"/>
              </a:solidFill>
            </c:spPr>
          </c:dPt>
          <c:dPt>
            <c:idx val="28"/>
            <c:spPr>
              <a:solidFill>
                <a:srgbClr val="007F95"/>
              </a:solidFill>
            </c:spPr>
          </c:dPt>
          <c:dPt>
            <c:idx val="29"/>
            <c:spPr>
              <a:solidFill>
                <a:srgbClr val="102A43"/>
              </a:solidFill>
            </c:spPr>
          </c:dPt>
        </c:ser>
        <c:overlap val="100"/>
        <c:axId val="1"/>
        <c:axId val="2"/>
      </c:lineChart>
      <c:catAx>
        <c:axId val="1"/>
        <c:axPos val="b"/>
        <c:crossAx val="2"/>
        <c:auto val="1"/>
        <c:delete val="0"/>
        <c:majorTickMark val="none"/>
        <c:minorTickMark val="none"/>
        <c:tickLblPos val="nextTo"/>
        <c:crosses val="autoZero"/>
        <c:scaling>
          <c:orientation val="minMax"/>
        </c:scaling>
        <c:spPr>
          <a:ln>
            <a:solidFill/>
          </a:ln>
        </c:spPr>
      </c:catAx>
      <c:valAx>
        <c:axId val="2"/>
        <c:axPos val="l"/>
        <c:title>
          <c:tx>
            <c:rich>
              <a:bodyPr/>
              <a:lstStyle/>
              <a:p>
                <a:pPr>
                  <a:defRPr/>
                </a:pPr>
                <a:r>
                  <a:rPr lang="en-US"/>
                  <a:t>GBP</a:t>
                </a:r>
              </a:p>
            </c:rich>
          </c:tx>
          <c:overlay val="0"/>
        </c:title>
        <c:crossAx val="1"/>
        <c:auto val="1"/>
        <c:delete val="0"/>
        <c:majorTickMark val="none"/>
        <c:minorTickMark val="none"/>
        <c:tickLblPos val="nextTo"/>
        <c:crosses val="autoZero"/>
        <c:majorGridlines/>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Hygiara</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Hygiara</dc:creator>
  <dc:title>Azure Architecture Assessment — Contoso Corp</dc:title>
  <dc:description>Azure environment review for Contoso Corp, conducted 16 September 2026</dc:description>
  <dc:subject/>
  <cp:keywords>Azure, Well-Architected, Review, Contoso Corp</cp:keywords>
  <cp:category/>
  <cp:lastModifiedBy>Hygiara</cp:lastModifiedBy>
  <dcterms:created xsi:type="dcterms:W3CDTF">2026-09-16T12:27:14+00:00</dcterms:created>
  <dcterms:modified xsi:type="dcterms:W3CDTF">2026-09-16T12:27:14+00:00</dcterms:modified>
</cp:coreProperties>
</file>

<file path=docProps/custom.xml><?xml version="1.0" encoding="utf-8"?>
<Properties xmlns="http://schemas.openxmlformats.org/officeDocument/2006/custom-properties" xmlns:vt="http://schemas.openxmlformats.org/officeDocument/2006/docPropsVTypes"/>
</file>